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F8" w:rsidRDefault="004B62F8">
      <w:pPr>
        <w:rPr>
          <w:b/>
        </w:rPr>
      </w:pPr>
      <w:bookmarkStart w:id="0" w:name="_GoBack"/>
      <w:bookmarkEnd w:id="0"/>
    </w:p>
    <w:p w:rsidR="004B62F8" w:rsidRDefault="004B62F8">
      <w:pPr>
        <w:rPr>
          <w:b/>
        </w:rPr>
      </w:pPr>
    </w:p>
    <w:p w:rsidR="004B62F8" w:rsidRDefault="004B62F8">
      <w:pPr>
        <w:rPr>
          <w:b/>
        </w:rPr>
      </w:pPr>
    </w:p>
    <w:p w:rsidR="004B62F8" w:rsidRDefault="004B62F8">
      <w:pPr>
        <w:rPr>
          <w:b/>
        </w:rPr>
      </w:pPr>
    </w:p>
    <w:p w:rsidR="004B62F8" w:rsidRDefault="004B62F8">
      <w:pPr>
        <w:rPr>
          <w:b/>
        </w:rPr>
      </w:pPr>
    </w:p>
    <w:p w:rsidR="00974872" w:rsidRDefault="00974872">
      <w:pPr>
        <w:rPr>
          <w:b/>
        </w:rPr>
      </w:pPr>
    </w:p>
    <w:p w:rsidR="004B62F8" w:rsidRDefault="004B62F8">
      <w:pPr>
        <w:rPr>
          <w:b/>
        </w:rPr>
      </w:pPr>
    </w:p>
    <w:p w:rsidR="00974872" w:rsidRDefault="00974872">
      <w:pPr>
        <w:rPr>
          <w:b/>
        </w:rPr>
      </w:pPr>
    </w:p>
    <w:p w:rsidR="004B62F8" w:rsidRDefault="004B62F8" w:rsidP="004B62F8">
      <w:pPr>
        <w:jc w:val="center"/>
      </w:pPr>
      <w:r w:rsidRPr="004B62F8">
        <w:t>Women in the Judiciary:</w:t>
      </w:r>
    </w:p>
    <w:p w:rsidR="004B62F8" w:rsidRDefault="00974872" w:rsidP="004B62F8">
      <w:pPr>
        <w:jc w:val="center"/>
      </w:pPr>
      <w:r>
        <w:t>An Analysis of Selection Processes</w:t>
      </w:r>
    </w:p>
    <w:p w:rsidR="00974872" w:rsidRDefault="00974872" w:rsidP="004B62F8">
      <w:pPr>
        <w:jc w:val="center"/>
      </w:pPr>
      <w:r>
        <w:t>Meaghan J. Gass</w:t>
      </w:r>
    </w:p>
    <w:p w:rsidR="00974872" w:rsidRDefault="00974872" w:rsidP="004B62F8">
      <w:pPr>
        <w:jc w:val="center"/>
      </w:pPr>
      <w:r>
        <w:t>Saint Louis University</w:t>
      </w:r>
    </w:p>
    <w:p w:rsidR="00974872" w:rsidRDefault="00974872">
      <w:r>
        <w:br w:type="page"/>
      </w:r>
    </w:p>
    <w:p w:rsidR="00357A2C" w:rsidRDefault="00520D44" w:rsidP="0050161B">
      <w:pPr>
        <w:spacing w:after="20" w:line="240" w:lineRule="auto"/>
        <w:jc w:val="center"/>
        <w:rPr>
          <w:b/>
        </w:rPr>
      </w:pPr>
      <w:r>
        <w:rPr>
          <w:b/>
        </w:rPr>
        <w:lastRenderedPageBreak/>
        <w:t>WOMEN IN THE JUDICIARY</w:t>
      </w:r>
    </w:p>
    <w:p w:rsidR="00520D44" w:rsidRPr="002C128A" w:rsidRDefault="00520D44" w:rsidP="0050161B">
      <w:pPr>
        <w:spacing w:after="20" w:line="240" w:lineRule="auto"/>
        <w:jc w:val="center"/>
        <w:rPr>
          <w:b/>
        </w:rPr>
      </w:pPr>
      <w:r>
        <w:rPr>
          <w:b/>
        </w:rPr>
        <w:t>Introduction</w:t>
      </w:r>
    </w:p>
    <w:p w:rsidR="00C92E3F" w:rsidRDefault="006D6968" w:rsidP="0050161B">
      <w:pPr>
        <w:spacing w:after="20" w:line="240" w:lineRule="auto"/>
        <w:ind w:firstLine="720"/>
      </w:pPr>
      <w:r>
        <w:t>As seen in various social movements, increased political participation from historically disenfranchised groups is key to improving social status, namely in the equal protection of rights and interests</w:t>
      </w:r>
      <w:r w:rsidR="005D384B">
        <w:t xml:space="preserve"> </w:t>
      </w:r>
      <w:r>
        <w:t xml:space="preserve">and the </w:t>
      </w:r>
      <w:r w:rsidR="00A97D82">
        <w:t>protection from the tyranny of the majority.</w:t>
      </w:r>
      <w:r w:rsidR="00C92E3F">
        <w:t xml:space="preserve">  Yet</w:t>
      </w:r>
      <w:r w:rsidR="00974872">
        <w:t>,</w:t>
      </w:r>
      <w:r w:rsidR="00C92E3F">
        <w:t xml:space="preserve"> nearly ninety-three years following the passage of women’s suffrage, w</w:t>
      </w:r>
      <w:r w:rsidR="00D225FD">
        <w:t xml:space="preserve">omen </w:t>
      </w:r>
      <w:r w:rsidR="00C92E3F">
        <w:t xml:space="preserve">still have </w:t>
      </w:r>
      <w:r w:rsidR="005D384B">
        <w:t>not</w:t>
      </w:r>
      <w:r w:rsidR="00C92E3F">
        <w:t xml:space="preserve"> acquire</w:t>
      </w:r>
      <w:r w:rsidR="005D384B">
        <w:t>d</w:t>
      </w:r>
      <w:r w:rsidR="00C92E3F">
        <w:t xml:space="preserve"> equal </w:t>
      </w:r>
      <w:r w:rsidR="006258FA">
        <w:t>political participation</w:t>
      </w:r>
      <w:r w:rsidR="009915AC">
        <w:t xml:space="preserve"> in public office</w:t>
      </w:r>
      <w:r w:rsidR="006258FA">
        <w:t xml:space="preserve">.  </w:t>
      </w:r>
      <w:r w:rsidR="00C92E3F">
        <w:t xml:space="preserve">When looking at one of the most obvious forms of power, elected office, women are not equally present.  </w:t>
      </w:r>
      <w:r w:rsidR="009915AC">
        <w:t xml:space="preserve">However, it is not clear what accounts for the difference in proportion of men and women in public office.  </w:t>
      </w:r>
      <w:r w:rsidR="00C92E3F">
        <w:t>Thus, researchers strive to account for this gender gap in political representation</w:t>
      </w:r>
      <w:r w:rsidR="0039426F">
        <w:t xml:space="preserve"> (</w:t>
      </w:r>
      <w:proofErr w:type="spellStart"/>
      <w:r w:rsidR="0039426F">
        <w:t>Swers</w:t>
      </w:r>
      <w:proofErr w:type="spellEnd"/>
      <w:r w:rsidR="0039426F">
        <w:t>, 2002; Fox and Lawless, 2004; Williams, 2008)</w:t>
      </w:r>
      <w:r w:rsidR="00C92E3F">
        <w:t>.  In these questions underlies the notion th</w:t>
      </w:r>
      <w:r w:rsidR="00A61739">
        <w:t xml:space="preserve">at male-dominated institutions are not gender-neutral but promote gender norms that </w:t>
      </w:r>
      <w:r w:rsidR="0039426F">
        <w:t>create barrier in</w:t>
      </w:r>
      <w:r w:rsidR="00A61739">
        <w:t xml:space="preserve"> women’s entrance</w:t>
      </w:r>
      <w:r w:rsidR="0039426F">
        <w:t xml:space="preserve"> in</w:t>
      </w:r>
      <w:r w:rsidR="00A61739">
        <w:t xml:space="preserve"> the political arena.</w:t>
      </w:r>
    </w:p>
    <w:p w:rsidR="00D225FD" w:rsidRPr="0077630C" w:rsidRDefault="00C92E3F" w:rsidP="0050161B">
      <w:pPr>
        <w:spacing w:after="20" w:line="240" w:lineRule="auto"/>
        <w:ind w:firstLine="720"/>
        <w:rPr>
          <w:color w:val="C00000"/>
        </w:rPr>
      </w:pPr>
      <w:r>
        <w:t xml:space="preserve"> Furthermore, t</w:t>
      </w:r>
      <w:r w:rsidR="006258FA">
        <w:t xml:space="preserve">his gender gap increases or decreases depending on the political institution.  For instance in </w:t>
      </w:r>
      <w:r w:rsidR="006D6968">
        <w:t>State L</w:t>
      </w:r>
      <w:r w:rsidR="006258FA">
        <w:t xml:space="preserve">egislatures, </w:t>
      </w:r>
      <w:r w:rsidR="006D6968">
        <w:t>about 24 percent of legislators are female</w:t>
      </w:r>
      <w:r w:rsidR="00DA6F63">
        <w:t>, but at the</w:t>
      </w:r>
      <w:r w:rsidR="00CA071E">
        <w:t xml:space="preserve"> federal level, only 18 percent of females are present in Congress</w:t>
      </w:r>
      <w:r w:rsidR="00E51BA3">
        <w:t xml:space="preserve"> (</w:t>
      </w:r>
      <w:r w:rsidR="00DA41FC">
        <w:t>Center for American Women and Politics</w:t>
      </w:r>
      <w:r w:rsidR="00E51BA3">
        <w:t>, 2013)</w:t>
      </w:r>
      <w:r w:rsidR="00CA071E">
        <w:t>.</w:t>
      </w:r>
      <w:r w:rsidR="006D6968">
        <w:t xml:space="preserve">  </w:t>
      </w:r>
      <w:r w:rsidR="00DA6F63">
        <w:t xml:space="preserve">As is common with most professions, as positions increase in prestige, there are fewer women present.  </w:t>
      </w:r>
      <w:r w:rsidR="0039426F">
        <w:t>These numbers point</w:t>
      </w:r>
      <w:r w:rsidR="00A97D82">
        <w:t xml:space="preserve"> to the influence of institutional </w:t>
      </w:r>
      <w:r w:rsidR="0039426F">
        <w:t>differences in women in office</w:t>
      </w:r>
      <w:r w:rsidR="00A97D82">
        <w:t xml:space="preserve">.  </w:t>
      </w:r>
      <w:r w:rsidR="006D6968">
        <w:t xml:space="preserve">In comparison, </w:t>
      </w:r>
      <w:r w:rsidR="00DA6F63">
        <w:t xml:space="preserve">about 33 percent of the current U.S. Supreme Court </w:t>
      </w:r>
      <w:r w:rsidR="00AD3F9C">
        <w:t xml:space="preserve">(USSC) </w:t>
      </w:r>
      <w:r w:rsidR="00DA6F63">
        <w:t xml:space="preserve">Justices are women, and </w:t>
      </w:r>
      <w:r w:rsidR="006D6968">
        <w:t>women compose roughly 35 percent of State Supreme Courts</w:t>
      </w:r>
      <w:r w:rsidR="00E51BA3">
        <w:t xml:space="preserve"> (</w:t>
      </w:r>
      <w:r w:rsidR="00DA41FC">
        <w:t>CAWP</w:t>
      </w:r>
      <w:r w:rsidR="00E51BA3">
        <w:t>, 2013)</w:t>
      </w:r>
      <w:r w:rsidR="006D6968">
        <w:t xml:space="preserve">.  </w:t>
      </w:r>
      <w:r w:rsidR="00DA6F63">
        <w:t xml:space="preserve">It appears, then, on the surface that there is more gender equality in the judiciary than in legislative bodies.  </w:t>
      </w:r>
      <w:r w:rsidR="006D6968">
        <w:t>What accounts for these differences</w:t>
      </w:r>
      <w:r w:rsidR="00CA071E">
        <w:t xml:space="preserve"> between institutions?  </w:t>
      </w:r>
      <w:r w:rsidR="00A97D82">
        <w:t>What are the</w:t>
      </w:r>
      <w:r w:rsidR="00CA071E">
        <w:t xml:space="preserve"> institutional norms that promote or limit gender equality?  Why do State Supreme Courts have more</w:t>
      </w:r>
      <w:r w:rsidR="0003164E">
        <w:t xml:space="preserve"> even representation of women</w:t>
      </w:r>
      <w:r w:rsidR="00CA071E">
        <w:t>?</w:t>
      </w:r>
      <w:r w:rsidR="00A26ED3">
        <w:t xml:space="preserve">  In this paper, I </w:t>
      </w:r>
      <w:r w:rsidR="0039426F">
        <w:t>analyze</w:t>
      </w:r>
      <w:r w:rsidR="00A26ED3">
        <w:t xml:space="preserve"> the impact of selection processes on gender equality at the state judiciary.  </w:t>
      </w:r>
      <w:r w:rsidR="0039426F">
        <w:t>I will also evaluate the relationship between</w:t>
      </w:r>
      <w:r w:rsidR="00872FF3">
        <w:t xml:space="preserve"> eligibility pools </w:t>
      </w:r>
      <w:r w:rsidR="0039426F">
        <w:t>and</w:t>
      </w:r>
      <w:r w:rsidR="00872FF3">
        <w:t xml:space="preserve"> the presence of women on both the state and federal courts. </w:t>
      </w:r>
      <w:r w:rsidR="00E75B98">
        <w:t xml:space="preserve"> Overall, I hope to explain how institutional factors, like judge selection processes, affect the presence of women in the judiciary.</w:t>
      </w:r>
      <w:r w:rsidR="0077630C">
        <w:t xml:space="preserve">  </w:t>
      </w:r>
      <w:r w:rsidR="0077630C" w:rsidRPr="00676EE7">
        <w:t xml:space="preserve">Moreover, this paper </w:t>
      </w:r>
      <w:r w:rsidR="00676EE7" w:rsidRPr="00676EE7">
        <w:t xml:space="preserve">replicates a study by Kenney and </w:t>
      </w:r>
      <w:proofErr w:type="spellStart"/>
      <w:r w:rsidR="00676EE7" w:rsidRPr="00676EE7">
        <w:t>Windett</w:t>
      </w:r>
      <w:proofErr w:type="spellEnd"/>
      <w:r w:rsidR="00676EE7" w:rsidRPr="00676EE7">
        <w:t xml:space="preserve"> (2013) which uses similar data and methods.  However, my study focuses more on the effects of institutional design, via the selection processes, as opposed to the impact of political culture and diffusion of innovation from other states.</w:t>
      </w:r>
    </w:p>
    <w:p w:rsidR="00C62B14" w:rsidRPr="00A26ED3" w:rsidRDefault="00E1666C" w:rsidP="0050161B">
      <w:pPr>
        <w:spacing w:after="20" w:line="240" w:lineRule="auto"/>
        <w:jc w:val="center"/>
        <w:rPr>
          <w:b/>
        </w:rPr>
      </w:pPr>
      <w:r w:rsidRPr="00A26ED3">
        <w:rPr>
          <w:b/>
        </w:rPr>
        <w:t>Theoretical Argument</w:t>
      </w:r>
    </w:p>
    <w:p w:rsidR="00245926" w:rsidRDefault="00245926" w:rsidP="0050161B">
      <w:pPr>
        <w:spacing w:after="20" w:line="240" w:lineRule="auto"/>
      </w:pPr>
      <w:r>
        <w:tab/>
      </w:r>
      <w:r w:rsidR="00E75B98">
        <w:t xml:space="preserve">To begin, I will examine the different selection processes while also accounting for other potential variables that </w:t>
      </w:r>
      <w:r w:rsidR="0039426F">
        <w:t>are likely to affect</w:t>
      </w:r>
      <w:r w:rsidR="00E75B98">
        <w:t xml:space="preserve"> the distribution of women on the courts.  </w:t>
      </w:r>
      <w:r>
        <w:t>There are a variety of mechanisms used to select candidates for judgeships.</w:t>
      </w:r>
      <w:r w:rsidR="00974872">
        <w:t xml:space="preserve">  </w:t>
      </w:r>
      <w:r w:rsidR="00406CFB">
        <w:t xml:space="preserve">Election and appointment are the most </w:t>
      </w:r>
      <w:r w:rsidR="0039426F">
        <w:t>frequently</w:t>
      </w:r>
      <w:r w:rsidR="00406CFB">
        <w:t xml:space="preserve"> used methods, but a hybrid of these two selection processes is also common (The Fund for Modern Courts, 2012).</w:t>
      </w:r>
      <w:r>
        <w:t xml:space="preserve"> To begin, judges </w:t>
      </w:r>
      <w:r w:rsidR="00912DBE">
        <w:t>may</w:t>
      </w:r>
      <w:r>
        <w:t xml:space="preserve"> be selected by different elective styles- including partisan, nonpartisan, legislativ</w:t>
      </w:r>
      <w:r w:rsidR="00285C51">
        <w:t xml:space="preserve">e, and judicial elections.  In both the partisan </w:t>
      </w:r>
      <w:r w:rsidR="00974872">
        <w:t xml:space="preserve">and </w:t>
      </w:r>
      <w:r w:rsidR="00285C51">
        <w:t>nonpartisan elections, the public votes</w:t>
      </w:r>
      <w:r w:rsidR="00912DBE">
        <w:t xml:space="preserve"> to determine the future judge – the </w:t>
      </w:r>
      <w:r w:rsidR="00285C51">
        <w:t xml:space="preserve">main difference is the presence [or absence] </w:t>
      </w:r>
      <w:r w:rsidR="00543A58">
        <w:t xml:space="preserve">of </w:t>
      </w:r>
      <w:r w:rsidR="00285C51">
        <w:t>political parties.</w:t>
      </w:r>
      <w:r w:rsidR="00543A58">
        <w:t xml:space="preserve">  </w:t>
      </w:r>
      <w:r w:rsidR="00D21BB9">
        <w:t>Currently, eight states</w:t>
      </w:r>
      <w:r w:rsidR="00543A58">
        <w:t xml:space="preserve"> use partisan elections to select new judges</w:t>
      </w:r>
      <w:r w:rsidR="00D21BB9">
        <w:t xml:space="preserve"> at the State Supreme Court </w:t>
      </w:r>
      <w:r w:rsidR="00AD3F9C">
        <w:t xml:space="preserve">(SSC) </w:t>
      </w:r>
      <w:r w:rsidR="00D21BB9">
        <w:t>level, while fifteen use nonpartisan elections</w:t>
      </w:r>
      <w:r w:rsidR="00974872">
        <w:t xml:space="preserve"> (American Judicature Society, 2013)</w:t>
      </w:r>
      <w:r w:rsidR="00543A58">
        <w:t xml:space="preserve">.  </w:t>
      </w:r>
      <w:r w:rsidR="00285C51">
        <w:t xml:space="preserve">  In legislative election</w:t>
      </w:r>
      <w:r w:rsidR="00543A58">
        <w:t>s</w:t>
      </w:r>
      <w:r w:rsidR="00285C51">
        <w:t>,</w:t>
      </w:r>
      <w:r w:rsidR="00543A58">
        <w:t xml:space="preserve"> the judges are elect</w:t>
      </w:r>
      <w:r w:rsidR="0003164E">
        <w:t>ed by a vote of the legislature</w:t>
      </w:r>
      <w:r w:rsidR="00D21BB9">
        <w:t xml:space="preserve">, but this </w:t>
      </w:r>
      <w:r w:rsidR="00974872">
        <w:t>method is</w:t>
      </w:r>
      <w:r w:rsidR="00D21BB9">
        <w:t xml:space="preserve"> only</w:t>
      </w:r>
      <w:r w:rsidR="00974872">
        <w:t xml:space="preserve"> used by</w:t>
      </w:r>
      <w:r w:rsidR="00D21BB9">
        <w:t xml:space="preserve"> two states</w:t>
      </w:r>
      <w:r w:rsidR="00912DBE">
        <w:t>, South Carolina and Virginia,</w:t>
      </w:r>
      <w:r w:rsidR="00D21BB9">
        <w:t xml:space="preserve"> at the Supreme Court le</w:t>
      </w:r>
      <w:r w:rsidR="00912DBE">
        <w:t>vel</w:t>
      </w:r>
      <w:r w:rsidR="00D21BB9">
        <w:t xml:space="preserve">.   At other levels of the state judiciary system, judicial elections are used where the judge selection is based on a consensus of judges </w:t>
      </w:r>
      <w:r w:rsidR="00543A58">
        <w:t>(</w:t>
      </w:r>
      <w:proofErr w:type="spellStart"/>
      <w:r w:rsidR="00543A58">
        <w:t>Tokarz</w:t>
      </w:r>
      <w:proofErr w:type="spellEnd"/>
      <w:r w:rsidR="00E51BA3">
        <w:t>,</w:t>
      </w:r>
      <w:r w:rsidR="00543A58">
        <w:t xml:space="preserve"> 1986).</w:t>
      </w:r>
      <w:r w:rsidR="00285C51">
        <w:t xml:space="preserve"> </w:t>
      </w:r>
      <w:r w:rsidR="00912DBE">
        <w:t xml:space="preserve"> I</w:t>
      </w:r>
      <w:r w:rsidR="00D21BB9">
        <w:t xml:space="preserve">n this analysis, </w:t>
      </w:r>
      <w:r w:rsidR="00912DBE">
        <w:t xml:space="preserve">however, </w:t>
      </w:r>
      <w:r w:rsidR="00D21BB9">
        <w:t xml:space="preserve">there are not any judges selected </w:t>
      </w:r>
      <w:r w:rsidR="00912DBE">
        <w:t>using this judicial selection method</w:t>
      </w:r>
      <w:r w:rsidR="00D21BB9">
        <w:t xml:space="preserve">, but I mention its use in order to clarify the </w:t>
      </w:r>
      <w:r w:rsidR="00EA22F1">
        <w:t>processes of judge selection.</w:t>
      </w:r>
    </w:p>
    <w:p w:rsidR="00B4020A" w:rsidRDefault="00912DBE" w:rsidP="0050161B">
      <w:pPr>
        <w:spacing w:after="20" w:line="240" w:lineRule="auto"/>
      </w:pPr>
      <w:r>
        <w:lastRenderedPageBreak/>
        <w:tab/>
        <w:t xml:space="preserve">Additionally, judges may </w:t>
      </w:r>
      <w:r w:rsidR="00285C51">
        <w:t xml:space="preserve">be selected via appointment.  These appointments can be made by the chief executive [either the Governor or President depending on the level of government].  An “executive appointment” system allows the chief executive to be </w:t>
      </w:r>
      <w:r w:rsidR="00B018E1">
        <w:t>assisted by a bar association,</w:t>
      </w:r>
      <w:r w:rsidR="00285C51">
        <w:t xml:space="preserve"> commission</w:t>
      </w:r>
      <w:r w:rsidR="00B018E1">
        <w:t>, or an executive council</w:t>
      </w:r>
      <w:r w:rsidR="00285C51">
        <w:t xml:space="preserve">, and then, the candidate is normally approved by the legislative branch </w:t>
      </w:r>
      <w:r w:rsidR="00B018E1">
        <w:t xml:space="preserve">[however, this approval process varies among states </w:t>
      </w:r>
      <w:r w:rsidR="00285C51">
        <w:t>(</w:t>
      </w:r>
      <w:proofErr w:type="spellStart"/>
      <w:r w:rsidR="00285C51">
        <w:t>Tokarz</w:t>
      </w:r>
      <w:proofErr w:type="spellEnd"/>
      <w:r w:rsidR="00E51BA3">
        <w:t>,</w:t>
      </w:r>
      <w:r w:rsidR="00285C51">
        <w:t xml:space="preserve"> 1986)</w:t>
      </w:r>
      <w:r w:rsidR="00E21677">
        <w:t>.  Furthermore</w:t>
      </w:r>
      <w:r>
        <w:t>, Goldstein (2007) argues</w:t>
      </w:r>
      <w:r w:rsidR="00E21677">
        <w:t xml:space="preserve"> that this method best guarantees the independent judiciary since there is no potential retribution from the public over </w:t>
      </w:r>
      <w:r>
        <w:t>an unpopular decision</w:t>
      </w:r>
      <w:r w:rsidR="00E21677">
        <w:t>.</w:t>
      </w:r>
    </w:p>
    <w:p w:rsidR="00B4020A" w:rsidRDefault="000278D3" w:rsidP="0050161B">
      <w:pPr>
        <w:spacing w:after="20" w:line="240" w:lineRule="auto"/>
        <w:ind w:firstLine="720"/>
      </w:pPr>
      <w:r>
        <w:t>A third mechanism of judge selection is t</w:t>
      </w:r>
      <w:r w:rsidR="00303BE4">
        <w:t>he merit-</w:t>
      </w:r>
      <w:r w:rsidR="00912DBE">
        <w:t xml:space="preserve">based system, also known as </w:t>
      </w:r>
      <w:r w:rsidR="00B4020A">
        <w:t xml:space="preserve">the “Missouri Plan,” </w:t>
      </w:r>
      <w:r>
        <w:t xml:space="preserve">which </w:t>
      </w:r>
      <w:r w:rsidR="00B4020A">
        <w:t xml:space="preserve">combines the previously explained processes:  appointment and election.  </w:t>
      </w:r>
      <w:r w:rsidR="00E14657">
        <w:t>This method</w:t>
      </w:r>
      <w:r w:rsidR="00B4020A">
        <w:t xml:space="preserve"> involves many actors including: </w:t>
      </w:r>
      <w:r w:rsidR="00912DBE">
        <w:t xml:space="preserve"> the</w:t>
      </w:r>
      <w:r w:rsidR="00B4020A">
        <w:t xml:space="preserve"> governor,</w:t>
      </w:r>
      <w:r w:rsidR="00380CA7">
        <w:t xml:space="preserve"> the bar, and the bench</w:t>
      </w:r>
      <w:r w:rsidR="00912DBE">
        <w:t xml:space="preserve"> (American Judicature System).  T</w:t>
      </w:r>
      <w:r w:rsidR="00310FFB" w:rsidRPr="00310FFB">
        <w:t>hirteen</w:t>
      </w:r>
      <w:r w:rsidR="00EA22F1" w:rsidRPr="00310FFB">
        <w:t xml:space="preserve"> states</w:t>
      </w:r>
      <w:r w:rsidR="009B6215">
        <w:t xml:space="preserve"> [along with Washington D.C. and Puerto Rico] use this method [or a variation of it] to select judges</w:t>
      </w:r>
      <w:r w:rsidR="00310FFB">
        <w:t xml:space="preserve"> (American Judicature System)</w:t>
      </w:r>
      <w:r w:rsidR="00380CA7">
        <w:t xml:space="preserve">.  </w:t>
      </w:r>
      <w:r w:rsidR="00F42390">
        <w:t xml:space="preserve"> In this selection process, three candidates are first nominated by a commission with composition varying from state to state.  Then, a candidate is appointed by</w:t>
      </w:r>
      <w:r w:rsidR="00B1263B">
        <w:t xml:space="preserve"> the chief executive (i.e. the governor)</w:t>
      </w:r>
      <w:r w:rsidR="00F42390">
        <w:t>.  Finally, after a ful</w:t>
      </w:r>
      <w:r w:rsidR="00257FA0">
        <w:t>l year of service, the judge</w:t>
      </w:r>
      <w:r w:rsidR="00F42390">
        <w:t xml:space="preserve"> is fully confirmed by a nonpartisan, retention election</w:t>
      </w:r>
      <w:r w:rsidR="00257FA0">
        <w:t>.  If the judge does not receive a majority of the votes, then the entire process restarts at the nomination phase (</w:t>
      </w:r>
      <w:proofErr w:type="spellStart"/>
      <w:r w:rsidR="00257FA0">
        <w:t>Tokarz</w:t>
      </w:r>
      <w:proofErr w:type="spellEnd"/>
      <w:r w:rsidR="00E51BA3">
        <w:t>,</w:t>
      </w:r>
      <w:r w:rsidR="00257FA0">
        <w:t xml:space="preserve"> 1986).</w:t>
      </w:r>
    </w:p>
    <w:p w:rsidR="0003164E" w:rsidRDefault="002E77AD" w:rsidP="0050161B">
      <w:pPr>
        <w:spacing w:after="20" w:line="240" w:lineRule="auto"/>
        <w:ind w:firstLine="720"/>
      </w:pPr>
      <w:r>
        <w:t>The use of different j</w:t>
      </w:r>
      <w:r w:rsidR="00E50DA1">
        <w:t>udiciary style</w:t>
      </w:r>
      <w:r>
        <w:t>s</w:t>
      </w:r>
      <w:r w:rsidR="00E50DA1">
        <w:t xml:space="preserve"> has been debated since the founding of the United States</w:t>
      </w:r>
      <w:r w:rsidR="007534AB">
        <w:t>, subsequently resulting in the different selection processes</w:t>
      </w:r>
      <w:r w:rsidR="00E50DA1">
        <w:t xml:space="preserve">.  </w:t>
      </w:r>
      <w:r w:rsidR="00912DBE">
        <w:t xml:space="preserve">Famously, </w:t>
      </w:r>
      <w:r w:rsidR="00E50DA1">
        <w:t xml:space="preserve">Alexander Hamilton pushed for an independent judiciary, while Thomas Jefferson wanted a judiciary </w:t>
      </w:r>
      <w:r w:rsidR="00912DBE">
        <w:t xml:space="preserve">whose decisions would be held </w:t>
      </w:r>
      <w:r w:rsidR="00E50DA1">
        <w:t xml:space="preserve">accountable </w:t>
      </w:r>
      <w:r w:rsidR="00912DBE">
        <w:t>by the public</w:t>
      </w:r>
      <w:r w:rsidR="00E50DA1">
        <w:t>.  In order to achieve an independent judiciary, many believe that the appointment system is the be</w:t>
      </w:r>
      <w:r w:rsidR="00B1263B">
        <w:t>st, but elections can be used in order to have judges accountable to the public [because if they are not, then they would be removed from office with electoral change].  Further</w:t>
      </w:r>
      <w:r w:rsidR="00912DBE">
        <w:t>more, the merit-based system</w:t>
      </w:r>
      <w:r w:rsidR="00B1263B">
        <w:t xml:space="preserve"> developed in order to remove some of the politics in the judge selection process.  By having a commission select potential ca</w:t>
      </w:r>
      <w:r w:rsidR="00B208AD">
        <w:t>ndidates first, then there will be reduced bias and preferential treatment of the chief executive (Goldstein</w:t>
      </w:r>
      <w:r w:rsidR="00E51BA3">
        <w:t>,</w:t>
      </w:r>
      <w:r w:rsidR="00B208AD">
        <w:t xml:space="preserve"> 2007).  The continued use of these different mechanisms for judge selection demonstrates that the debate between Hamilton and Jefferson is ongoing.  </w:t>
      </w:r>
    </w:p>
    <w:p w:rsidR="00303BE4" w:rsidRDefault="004F25CA" w:rsidP="0050161B">
      <w:pPr>
        <w:spacing w:after="20" w:line="240" w:lineRule="auto"/>
        <w:ind w:firstLine="720"/>
      </w:pPr>
      <w:r>
        <w:t xml:space="preserve">In regards to </w:t>
      </w:r>
      <w:r w:rsidR="00912DBE">
        <w:t xml:space="preserve">enhancing </w:t>
      </w:r>
      <w:r>
        <w:t xml:space="preserve">gender equality in judgeships, the assumption is that the process </w:t>
      </w:r>
      <w:r w:rsidR="00912DBE">
        <w:t>resulting</w:t>
      </w:r>
      <w:r>
        <w:t xml:space="preserve"> in the greatest number of women judges present within the court is the better selection process</w:t>
      </w:r>
      <w:r w:rsidR="007534AB">
        <w:t xml:space="preserve">.  As </w:t>
      </w:r>
      <w:r>
        <w:t>scholars note, however, it would be foolhardy to assume that any selection or electoral process is gender-neutral</w:t>
      </w:r>
      <w:r w:rsidR="00A26ED3">
        <w:t xml:space="preserve"> simply</w:t>
      </w:r>
      <w:r>
        <w:t xml:space="preserve"> because the end result is roughly equal</w:t>
      </w:r>
      <w:r w:rsidR="00A26ED3">
        <w:t xml:space="preserve"> representation </w:t>
      </w:r>
      <w:r w:rsidR="00527A5A">
        <w:t xml:space="preserve">between </w:t>
      </w:r>
      <w:r>
        <w:t>men and women (Fox and Lawless</w:t>
      </w:r>
      <w:r w:rsidR="00E51BA3">
        <w:t>,</w:t>
      </w:r>
      <w:r>
        <w:t xml:space="preserve"> 2004). </w:t>
      </w:r>
      <w:r w:rsidR="00A26ED3">
        <w:t>Rather, gender so</w:t>
      </w:r>
      <w:r w:rsidR="00E51BA3">
        <w:t>cialization occurs within most [if not all]</w:t>
      </w:r>
      <w:r w:rsidR="00A26ED3">
        <w:t xml:space="preserve"> processes and is unlikely to be neutral.  </w:t>
      </w:r>
      <w:r w:rsidR="00B208AD">
        <w:t xml:space="preserve">In this paper, I hope to </w:t>
      </w:r>
      <w:r w:rsidR="00A26ED3">
        <w:t>further explore the selection processes of judges in order to better understand which tactics promote greater gender equality.</w:t>
      </w:r>
    </w:p>
    <w:p w:rsidR="003F118A" w:rsidRDefault="003F118A" w:rsidP="0050161B">
      <w:pPr>
        <w:spacing w:after="20" w:line="240" w:lineRule="auto"/>
        <w:ind w:firstLine="720"/>
      </w:pPr>
      <w:r>
        <w:t>In th</w:t>
      </w:r>
      <w:r w:rsidR="00D564CC">
        <w:t xml:space="preserve">e </w:t>
      </w:r>
      <w:r w:rsidR="00912DBE">
        <w:t>election process</w:t>
      </w:r>
      <w:r w:rsidR="00D564CC">
        <w:t xml:space="preserve">, the </w:t>
      </w:r>
      <w:r>
        <w:t>initial decision</w:t>
      </w:r>
      <w:r w:rsidR="00395850">
        <w:t xml:space="preserve"> </w:t>
      </w:r>
      <w:r w:rsidR="00D564CC">
        <w:t>to run for office is a crucial step in eventually holding office.  When considering the factors in the decision to run calculus, political ambition—the desire to hold office</w:t>
      </w:r>
      <w:r w:rsidR="00395850">
        <w:t>—plays a</w:t>
      </w:r>
      <w:r w:rsidR="00912DBE">
        <w:t>n initial</w:t>
      </w:r>
      <w:r w:rsidR="00395850">
        <w:t xml:space="preserve"> key role.  </w:t>
      </w:r>
      <w:r w:rsidR="00912DBE">
        <w:t>Extant</w:t>
      </w:r>
      <w:r w:rsidR="00D84741">
        <w:t xml:space="preserve"> literature focuses on the gender gap related to state and federal legislators as opposed to judgeships.  As a result, there is little known about gender differences in political ambition and the judiciary- a gap my study hopes to fill.  </w:t>
      </w:r>
      <w:r w:rsidR="002256FF">
        <w:t>Within the existing literature related to legislative branches,</w:t>
      </w:r>
      <w:r w:rsidR="006F19A2">
        <w:t xml:space="preserve"> Fox and Lawless (2004) examine the interaction between gender and the initial decision to run for </w:t>
      </w:r>
      <w:r w:rsidR="003C086E">
        <w:t xml:space="preserve">legislative </w:t>
      </w:r>
      <w:r w:rsidR="006F19A2">
        <w:t xml:space="preserve">office by looking at four general areas in which traditional gender roles are likely to impact the propensity to run.  These areas are political culture, family responsibilities, self-perceived qualifications, and ideological motivations.  </w:t>
      </w:r>
      <w:r w:rsidR="00912DBE">
        <w:t>Fox and Lawless (2004)</w:t>
      </w:r>
      <w:r w:rsidR="006F19A2">
        <w:t xml:space="preserve"> find potential female candidates’ self-perceived </w:t>
      </w:r>
      <w:r w:rsidR="006F19A2">
        <w:lastRenderedPageBreak/>
        <w:t xml:space="preserve">qualifications to be the strongest determinant </w:t>
      </w:r>
      <w:r w:rsidR="00912DBE">
        <w:t>in the decision not to run</w:t>
      </w:r>
      <w:r w:rsidR="003C086E">
        <w:t>.  In other words, women are significantly less likely than men to perceive themselv</w:t>
      </w:r>
      <w:r w:rsidR="00912DBE">
        <w:t>es as being qualified to run.  Moreover, t</w:t>
      </w:r>
      <w:r w:rsidR="003C086E">
        <w:t xml:space="preserve">his phenomenon holds true even for women at the highest professional positions.  Fox and Lawless (2004) also find that women are far less likely to be encouraged to run for office.  </w:t>
      </w:r>
      <w:r w:rsidR="00D564CC">
        <w:t>In other words, women self-perceive as unqualified, and then, recruitment processes solidify those perceptions.</w:t>
      </w:r>
      <w:r w:rsidR="003C6D68">
        <w:t xml:space="preserve">  G</w:t>
      </w:r>
      <w:r w:rsidR="00D84741">
        <w:t xml:space="preserve">ender socialization processes </w:t>
      </w:r>
      <w:r w:rsidR="003C6D68">
        <w:t>are</w:t>
      </w:r>
      <w:r w:rsidR="00D84741">
        <w:t xml:space="preserve"> likely to</w:t>
      </w:r>
      <w:r w:rsidR="003C6D68">
        <w:t xml:space="preserve"> have</w:t>
      </w:r>
      <w:r w:rsidR="00D84741">
        <w:t xml:space="preserve"> an impact on </w:t>
      </w:r>
      <w:r w:rsidR="003C6D68">
        <w:t xml:space="preserve">the differences between men and women’s initial decision to run </w:t>
      </w:r>
      <w:r w:rsidR="00D84741">
        <w:t xml:space="preserve">for public office and pursuing this decision in an actual campaign.  </w:t>
      </w:r>
      <w:r w:rsidR="00D84741" w:rsidRPr="00DA41FC">
        <w:t>While this finding is conclusive in regards to the state legislature, I expect similar findings in my analysis</w:t>
      </w:r>
      <w:r w:rsidR="003C6D68" w:rsidRPr="00DA41FC">
        <w:t xml:space="preserve"> on the judiciary</w:t>
      </w:r>
      <w:r w:rsidR="00D84741" w:rsidRPr="00DA41FC">
        <w:t>.</w:t>
      </w:r>
    </w:p>
    <w:p w:rsidR="003C6D68" w:rsidRDefault="003C086E" w:rsidP="0050161B">
      <w:pPr>
        <w:spacing w:after="20" w:line="240" w:lineRule="auto"/>
        <w:ind w:firstLine="720"/>
      </w:pPr>
      <w:r>
        <w:t xml:space="preserve">In addition to these self-perceptions, the political culture also plays a role in the decision-making process in running for elected office.  </w:t>
      </w:r>
      <w:r w:rsidR="0013597C">
        <w:t>Hill (1981)</w:t>
      </w:r>
      <w:r>
        <w:t xml:space="preserve"> f</w:t>
      </w:r>
      <w:r w:rsidR="00230CA9">
        <w:t>i</w:t>
      </w:r>
      <w:r>
        <w:t>nd</w:t>
      </w:r>
      <w:r w:rsidR="00230CA9">
        <w:t>s</w:t>
      </w:r>
      <w:r>
        <w:t xml:space="preserve"> that there is a greater likelihood for women to run for legislative office when the political culture of the state </w:t>
      </w:r>
      <w:r w:rsidR="0013597C">
        <w:t xml:space="preserve">has a greater level </w:t>
      </w:r>
      <w:r w:rsidR="003C6D68">
        <w:t xml:space="preserve">of gender egalitarian norms – </w:t>
      </w:r>
      <w:r w:rsidR="0013597C">
        <w:t>for instance early acceptance of women’s suffrage, lower l</w:t>
      </w:r>
      <w:r w:rsidR="003975B0">
        <w:t>evels of female discrimination, and more equal levels of educations.  Conversely, he f</w:t>
      </w:r>
      <w:r w:rsidR="00230CA9">
        <w:t>i</w:t>
      </w:r>
      <w:r w:rsidR="003975B0">
        <w:t>nd</w:t>
      </w:r>
      <w:r w:rsidR="00230CA9">
        <w:t>s</w:t>
      </w:r>
      <w:r w:rsidR="003975B0">
        <w:t xml:space="preserve"> that women run less when the political culture follows more traditional gender norms.</w:t>
      </w:r>
      <w:r w:rsidR="003C6D68">
        <w:t xml:space="preserve">  </w:t>
      </w:r>
    </w:p>
    <w:p w:rsidR="003C086E" w:rsidRPr="001C0ECB" w:rsidRDefault="003C6D68" w:rsidP="0050161B">
      <w:pPr>
        <w:tabs>
          <w:tab w:val="left" w:pos="5760"/>
        </w:tabs>
        <w:spacing w:after="20" w:line="240" w:lineRule="auto"/>
        <w:ind w:firstLine="720"/>
        <w:rPr>
          <w:b/>
        </w:rPr>
      </w:pPr>
      <w:r>
        <w:t>In addition to political culture, t</w:t>
      </w:r>
      <w:r w:rsidR="00303BE4">
        <w:t>here may</w:t>
      </w:r>
      <w:r w:rsidR="002E77AD">
        <w:t xml:space="preserve"> be</w:t>
      </w:r>
      <w:r w:rsidR="00303BE4">
        <w:t xml:space="preserve"> incentives for women to pursue judgeships via election or accept them via the other processes</w:t>
      </w:r>
      <w:r w:rsidR="00303BE4" w:rsidRPr="001C0ECB">
        <w:t>.</w:t>
      </w:r>
      <w:r w:rsidR="00671B7B" w:rsidRPr="001C0ECB">
        <w:t xml:space="preserve">  For instan</w:t>
      </w:r>
      <w:r w:rsidR="001368A4" w:rsidRPr="001C0ECB">
        <w:t xml:space="preserve">ce, Williams (2008) finds that women </w:t>
      </w:r>
      <w:r w:rsidR="00614945">
        <w:t>are more likely to advance</w:t>
      </w:r>
      <w:r w:rsidR="001368A4" w:rsidRPr="001C0ECB">
        <w:t xml:space="preserve"> in the judiciary as opposed to the legal profession.   For instance,</w:t>
      </w:r>
      <w:r w:rsidR="00CB1419">
        <w:t xml:space="preserve"> women compose only 15 percent</w:t>
      </w:r>
      <w:r w:rsidR="000A0316" w:rsidRPr="001C0ECB">
        <w:t xml:space="preserve"> of partners in law firms</w:t>
      </w:r>
      <w:r w:rsidR="001C0ECB" w:rsidRPr="001C0ECB">
        <w:t xml:space="preserve"> </w:t>
      </w:r>
      <w:r w:rsidR="000A0316" w:rsidRPr="001C0ECB">
        <w:t xml:space="preserve">(CNN, 2013).  </w:t>
      </w:r>
      <w:r w:rsidR="001C0ECB" w:rsidRPr="001C0ECB">
        <w:t>In U.S. District Court and Courts of Appeal, 30</w:t>
      </w:r>
      <w:r w:rsidR="00CB1419">
        <w:t xml:space="preserve"> percent</w:t>
      </w:r>
      <w:r w:rsidR="001C0ECB" w:rsidRPr="001C0ECB">
        <w:t xml:space="preserve"> of the fulltime judges are women (United States Courts, 2013).</w:t>
      </w:r>
      <w:r w:rsidR="00CB1419">
        <w:t xml:space="preserve">  Similarly, roughly 35 percent of </w:t>
      </w:r>
      <w:r w:rsidR="00AD3F9C">
        <w:t>SSC</w:t>
      </w:r>
      <w:r w:rsidR="00CB1419">
        <w:t xml:space="preserve"> judges are women (Rutgers, 2013).</w:t>
      </w:r>
      <w:r w:rsidR="001C0ECB">
        <w:rPr>
          <w:b/>
        </w:rPr>
        <w:t xml:space="preserve">  </w:t>
      </w:r>
      <w:r w:rsidR="00AE4699">
        <w:t xml:space="preserve">Thus, judgeships </w:t>
      </w:r>
      <w:r w:rsidR="00725D2E">
        <w:t xml:space="preserve">may </w:t>
      </w:r>
      <w:r w:rsidR="00AE4699">
        <w:t>present fewer institutional barriers in acquiring prestigious positions.</w:t>
      </w:r>
    </w:p>
    <w:p w:rsidR="00AE4699" w:rsidRDefault="00E236BF" w:rsidP="0050161B">
      <w:pPr>
        <w:spacing w:after="20" w:line="240" w:lineRule="auto"/>
        <w:ind w:firstLine="720"/>
      </w:pPr>
      <w:r>
        <w:t>The effect of ambition on the decision to run is also affected by perceptions of the surrounding environment such as prospects of winning.  As studies find differences between men and women’s political ambition, it may also be likely that gender has an impact in the responsiveness to political opportunities in the decision to run calculus</w:t>
      </w:r>
      <w:r w:rsidR="00725D2E">
        <w:t xml:space="preserve"> (Bledsoe and Herring, 1990; Fox and Lawless, 2004)</w:t>
      </w:r>
      <w:r>
        <w:t>.  For example, Bledsoe and Herring (1990) find s</w:t>
      </w:r>
      <w:r w:rsidR="00725D2E">
        <w:t>ignificant</w:t>
      </w:r>
      <w:r>
        <w:t xml:space="preserve"> differences between </w:t>
      </w:r>
      <w:r w:rsidR="00725D2E">
        <w:t>men and women’s</w:t>
      </w:r>
      <w:r w:rsidR="0088606B">
        <w:t xml:space="preserve"> likelihood to run </w:t>
      </w:r>
      <w:r w:rsidR="00725D2E">
        <w:t>as well as</w:t>
      </w:r>
      <w:r w:rsidR="0088606B">
        <w:t xml:space="preserve"> the </w:t>
      </w:r>
      <w:r>
        <w:t>overall proclivity</w:t>
      </w:r>
      <w:r w:rsidR="0088606B">
        <w:t xml:space="preserve"> of men to respond</w:t>
      </w:r>
      <w:r>
        <w:t xml:space="preserve"> to ambition in choosing to run for elected office.</w:t>
      </w:r>
      <w:r w:rsidR="0088606B">
        <w:t xml:space="preserve">  Similarly, Fulton et al. (2006) find that, “ambition elicits different reactions from men and women depending upon the structure of political opportunities, like the prospects of winning” (p. 236).  They find that both men and women are responsive to the intersection of ambition and opportunity, but women’s decisions to run calculus are more responsive to these perceptions than men (Fulton et al.</w:t>
      </w:r>
      <w:r w:rsidR="00E51BA3">
        <w:t>,</w:t>
      </w:r>
      <w:r w:rsidR="0088606B">
        <w:t xml:space="preserve"> 2006).  Thus, f</w:t>
      </w:r>
      <w:r w:rsidR="00AE4699">
        <w:t>or women, the likelihood to run is positively impacted by the combinati</w:t>
      </w:r>
      <w:r w:rsidR="00725D2E">
        <w:t xml:space="preserve">on of ambition and opportunity – </w:t>
      </w:r>
      <w:r w:rsidR="00AE4699">
        <w:t>meaning women tend to be more strategic when deciding to run for office</w:t>
      </w:r>
      <w:r>
        <w:t xml:space="preserve"> (Fulton et al.</w:t>
      </w:r>
      <w:r w:rsidR="00E51BA3">
        <w:t>,</w:t>
      </w:r>
      <w:r>
        <w:t xml:space="preserve"> 2006)</w:t>
      </w:r>
      <w:r w:rsidR="00AE4699">
        <w:t xml:space="preserve">. </w:t>
      </w:r>
    </w:p>
    <w:p w:rsidR="00DB5E4A" w:rsidRDefault="009D080D" w:rsidP="0050161B">
      <w:pPr>
        <w:spacing w:after="20" w:line="240" w:lineRule="auto"/>
        <w:ind w:firstLine="720"/>
      </w:pPr>
      <w:r>
        <w:t xml:space="preserve">In comparison to running for state judgeships, appointed positions follow a different process.  Judith Kaye, the former chief judge of the New York Court of Appeals, reflects on the process of being appointed to the courts, “In the early 1980s, suddenly people were looking for women, […] Since I was one of the few female commercial practitioners around with so much-21 years-experience, I was sought out for both the federal trial court and the state’s highest appellate court.” </w:t>
      </w:r>
      <w:proofErr w:type="gramStart"/>
      <w:r>
        <w:t>(</w:t>
      </w:r>
      <w:proofErr w:type="spellStart"/>
      <w:r>
        <w:t>Filisko</w:t>
      </w:r>
      <w:proofErr w:type="spellEnd"/>
      <w:r>
        <w:t>, 2012, p.11).</w:t>
      </w:r>
      <w:proofErr w:type="gramEnd"/>
      <w:r>
        <w:t xml:space="preserve">  </w:t>
      </w:r>
      <w:r w:rsidR="00614945">
        <w:t>Concurrently</w:t>
      </w:r>
      <w:r>
        <w:t xml:space="preserve"> [in 1981], Sandra O’C</w:t>
      </w:r>
      <w:r w:rsidR="00DB5E4A">
        <w:t>onnor was appointed to the USSC, which may account for this rise in female judgeships.</w:t>
      </w:r>
      <w:r w:rsidR="00756B6B">
        <w:t xml:space="preserve">  </w:t>
      </w:r>
      <w:r w:rsidR="00DB5E4A">
        <w:t xml:space="preserve">Also, it is important to note that Kaye was selected for the judgeship after submitting an application to be appointed as a judge.  Thus, even in the appointment process, ambition sometimes plays a role.  </w:t>
      </w:r>
    </w:p>
    <w:p w:rsidR="00BB4C2C" w:rsidRDefault="00303BE4" w:rsidP="0050161B">
      <w:pPr>
        <w:spacing w:after="20" w:line="240" w:lineRule="auto"/>
        <w:ind w:firstLine="720"/>
      </w:pPr>
      <w:r>
        <w:lastRenderedPageBreak/>
        <w:t>In all judge selection methods, the eligibility pool plays a role</w:t>
      </w:r>
      <w:r w:rsidR="00230CA9">
        <w:t xml:space="preserve"> since this pool provides the prospective candidates eligible for judgeships</w:t>
      </w:r>
      <w:r>
        <w:t xml:space="preserve">.  In general, in order to be qualified to be a judge, </w:t>
      </w:r>
      <w:r w:rsidR="00BD101F">
        <w:t>it is important to be both professional and qualified</w:t>
      </w:r>
      <w:r w:rsidR="00BB4C2C">
        <w:t xml:space="preserve"> (</w:t>
      </w:r>
      <w:proofErr w:type="spellStart"/>
      <w:r w:rsidR="00BB4C2C">
        <w:t>Filisko</w:t>
      </w:r>
      <w:proofErr w:type="spellEnd"/>
      <w:r w:rsidR="00BB4C2C">
        <w:t>, 2012)</w:t>
      </w:r>
      <w:r w:rsidR="00BD101F">
        <w:t xml:space="preserve">.  Also, </w:t>
      </w:r>
      <w:r>
        <w:t xml:space="preserve">one must be from the legal profession.  </w:t>
      </w:r>
      <w:r w:rsidR="004F25CA">
        <w:t xml:space="preserve">However, this assumption does not hold true for all states.  </w:t>
      </w:r>
      <w:r w:rsidR="00D27628">
        <w:t xml:space="preserve">For instance, in Massachusetts and New Hampshire, the only requirement to become a Supreme Court judge is a </w:t>
      </w:r>
      <w:r w:rsidR="00E51BA3">
        <w:t>“</w:t>
      </w:r>
      <w:r w:rsidR="00D27628">
        <w:t xml:space="preserve">mandatory retirement age of 70,” but in the other states, there is </w:t>
      </w:r>
      <w:r w:rsidR="00DA65EA">
        <w:t>a legal background needed to become a judge</w:t>
      </w:r>
      <w:r w:rsidR="00417B42">
        <w:t xml:space="preserve"> (American Judicature Society</w:t>
      </w:r>
      <w:r w:rsidR="00E51BA3">
        <w:t>, 2013</w:t>
      </w:r>
      <w:r w:rsidR="00417B42">
        <w:t>)</w:t>
      </w:r>
      <w:r w:rsidR="00DA65EA">
        <w:t>.</w:t>
      </w:r>
      <w:r w:rsidR="00D27628">
        <w:t xml:space="preserve"> </w:t>
      </w:r>
      <w:r w:rsidR="00E51BA3">
        <w:t xml:space="preserve"> </w:t>
      </w:r>
      <w:r w:rsidR="00BB4C2C">
        <w:t xml:space="preserve">Furthermore, </w:t>
      </w:r>
      <w:r w:rsidR="00614945">
        <w:t xml:space="preserve">careers that serve as </w:t>
      </w:r>
      <w:r w:rsidR="00BB4C2C">
        <w:t>pipeline</w:t>
      </w:r>
      <w:r w:rsidR="00614945">
        <w:t>s to the eligibility pool</w:t>
      </w:r>
      <w:r w:rsidR="00BB4C2C">
        <w:t xml:space="preserve"> vary from state to state and court to court.  For instance in the New York Court of Appeals, the traditional route is judicial experience on lower courts, but judges are still selected without this background of experience (</w:t>
      </w:r>
      <w:proofErr w:type="spellStart"/>
      <w:r w:rsidR="00BB4C2C">
        <w:t>Filisko</w:t>
      </w:r>
      <w:proofErr w:type="spellEnd"/>
      <w:r w:rsidR="00BB4C2C">
        <w:t>, 2012).</w:t>
      </w:r>
      <w:r w:rsidR="00C911D1">
        <w:t xml:space="preserve">  </w:t>
      </w:r>
    </w:p>
    <w:p w:rsidR="00303BE4" w:rsidRPr="006C1F06" w:rsidRDefault="00BB4C2C" w:rsidP="0050161B">
      <w:pPr>
        <w:spacing w:after="20" w:line="240" w:lineRule="auto"/>
        <w:ind w:firstLine="720"/>
        <w:rPr>
          <w:i/>
        </w:rPr>
      </w:pPr>
      <w:r>
        <w:t>A</w:t>
      </w:r>
      <w:r w:rsidR="00836338">
        <w:t xml:space="preserve">t the federal level, there are no specific requirements listed in the Constitution, but at the same time, “informal criteria” </w:t>
      </w:r>
      <w:r w:rsidR="00676EE7">
        <w:t>are</w:t>
      </w:r>
      <w:r w:rsidR="00FA2145">
        <w:t xml:space="preserve"> used</w:t>
      </w:r>
      <w:r w:rsidR="00614945">
        <w:t xml:space="preserve">.  The informal </w:t>
      </w:r>
      <w:r w:rsidR="00676EE7">
        <w:t>criteria are</w:t>
      </w:r>
      <w:r w:rsidR="00836338">
        <w:t xml:space="preserve"> dependent on</w:t>
      </w:r>
      <w:r w:rsidR="00A16B13">
        <w:t xml:space="preserve"> recommendations by Congress and the Department of Justice who also play a role in evaluating p</w:t>
      </w:r>
      <w:r w:rsidR="00776FE2">
        <w:t>ro</w:t>
      </w:r>
      <w:r w:rsidR="00A16B13">
        <w:t>spective candidates (United States Courts</w:t>
      </w:r>
      <w:r w:rsidR="00E51BA3">
        <w:t>, 2013</w:t>
      </w:r>
      <w:r w:rsidR="00A16B13">
        <w:t xml:space="preserve">). </w:t>
      </w:r>
      <w:r w:rsidR="00836338" w:rsidRPr="00676EE7">
        <w:t xml:space="preserve"> </w:t>
      </w:r>
      <w:r w:rsidR="007D2CBC" w:rsidRPr="00676EE7">
        <w:t xml:space="preserve">However, given the higher prestige of the federal courts, it is assumed that a legal background in addition to the professional experience </w:t>
      </w:r>
      <w:r w:rsidR="007D2CBC" w:rsidRPr="006C1F06">
        <w:t>would be a prerequisite.</w:t>
      </w:r>
      <w:r w:rsidR="00614945" w:rsidRPr="006C1F06">
        <w:t xml:space="preserve">  </w:t>
      </w:r>
    </w:p>
    <w:p w:rsidR="003C6D68" w:rsidRPr="006C1F06" w:rsidRDefault="003C6D68" w:rsidP="0050161B">
      <w:pPr>
        <w:spacing w:after="20" w:line="240" w:lineRule="auto"/>
        <w:ind w:firstLine="720"/>
      </w:pPr>
      <w:r w:rsidRPr="006C1F06">
        <w:t xml:space="preserve">Furthermore, Williams (2008) finds that women may be more likely to pursue careers in the judiciary than other forms of office due to its more clearly defined qualifications [in comparison to the qualifications of other offices].  </w:t>
      </w:r>
      <w:r w:rsidR="00E333C6" w:rsidRPr="006C1F06">
        <w:t>In legislative office, scholars have noted that women sometimes doubt their qualifications</w:t>
      </w:r>
      <w:r w:rsidR="006C1F06">
        <w:t xml:space="preserve"> and therefore choose not to run for office</w:t>
      </w:r>
      <w:r w:rsidR="00E333C6" w:rsidRPr="006C1F06">
        <w:t xml:space="preserve"> (</w:t>
      </w:r>
      <w:r w:rsidR="006C1F06" w:rsidRPr="006C1F06">
        <w:t>Carroll, 1994</w:t>
      </w:r>
      <w:r w:rsidR="00E333C6" w:rsidRPr="006C1F06">
        <w:t xml:space="preserve">).  Thus, having clear criteria may allow more women to express their desire for judicial office.  </w:t>
      </w:r>
      <w:r w:rsidRPr="006C1F06">
        <w:t>As previously outlined</w:t>
      </w:r>
      <w:r w:rsidR="006C1F06">
        <w:t>, the criteria generally consist</w:t>
      </w:r>
      <w:r w:rsidRPr="006C1F06">
        <w:t xml:space="preserve"> of professional background in law.</w:t>
      </w:r>
      <w:r w:rsidR="006C1F06">
        <w:t xml:space="preserve">  Thus, an unambiguous</w:t>
      </w:r>
      <w:r w:rsidRPr="006C1F06">
        <w:t xml:space="preserve"> pipeline may give the judicial branch an advantage in achieved equal presence of men and women when compared to the other branches of the government.</w:t>
      </w:r>
    </w:p>
    <w:p w:rsidR="003C2CC4" w:rsidRPr="00771065" w:rsidRDefault="00F84F13" w:rsidP="0050161B">
      <w:pPr>
        <w:tabs>
          <w:tab w:val="center" w:pos="7830"/>
        </w:tabs>
        <w:spacing w:after="20" w:line="240" w:lineRule="auto"/>
        <w:ind w:firstLine="720"/>
        <w:rPr>
          <w:color w:val="FF0000"/>
        </w:rPr>
      </w:pPr>
      <w:r>
        <w:t>Additionally</w:t>
      </w:r>
      <w:r w:rsidR="00257FA0">
        <w:t>, the chief executive</w:t>
      </w:r>
      <w:r w:rsidR="002A1CDC">
        <w:t xml:space="preserve"> also impacts </w:t>
      </w:r>
      <w:r>
        <w:t>judgeship appointments</w:t>
      </w:r>
      <w:r w:rsidR="002A1CDC">
        <w:t xml:space="preserve">.  </w:t>
      </w:r>
      <w:r>
        <w:t xml:space="preserve">At the federal level, </w:t>
      </w:r>
      <w:r w:rsidR="002A1CDC">
        <w:t xml:space="preserve">Tobias (1991) </w:t>
      </w:r>
      <w:r>
        <w:t>finds</w:t>
      </w:r>
      <w:r w:rsidR="002A1CDC">
        <w:t xml:space="preserve"> that, “every President in recent history has increased the numbers and percentages of women appointed to the federal judiciary over time, mainly at the end of his first term or during his second term, if re-elected” (p. 481).</w:t>
      </w:r>
      <w:r w:rsidR="005C1BE4">
        <w:t xml:space="preserve">  </w:t>
      </w:r>
      <w:r w:rsidR="00357A2C">
        <w:t>Thus,</w:t>
      </w:r>
      <w:r>
        <w:t xml:space="preserve"> at the federal level, women</w:t>
      </w:r>
      <w:r w:rsidR="00357A2C">
        <w:t xml:space="preserve"> have a greater opportunity to be selected as a judge depending on the term cycle.  </w:t>
      </w:r>
      <w:r w:rsidR="005C1BE4">
        <w:t xml:space="preserve">Also, </w:t>
      </w:r>
      <w:r>
        <w:t>individual chief executives appoint</w:t>
      </w:r>
      <w:r w:rsidR="005C1BE4">
        <w:t xml:space="preserve"> more women to judgeships than others.  For instance at the federal level, the rate of fema</w:t>
      </w:r>
      <w:r w:rsidR="00CB1419">
        <w:t>le appointments varied from about 16 percent</w:t>
      </w:r>
      <w:r w:rsidR="005C1BE4">
        <w:t xml:space="preserve"> with Carter to </w:t>
      </w:r>
      <w:r w:rsidR="00CB1419">
        <w:t xml:space="preserve">roughly 8 percent </w:t>
      </w:r>
      <w:r w:rsidR="005C1BE4">
        <w:t>with Reagan (Tobias</w:t>
      </w:r>
      <w:r w:rsidR="00E51BA3">
        <w:t>,</w:t>
      </w:r>
      <w:r w:rsidR="005C1BE4">
        <w:t xml:space="preserve"> 1992-93).  </w:t>
      </w:r>
      <w:r w:rsidR="00357A2C">
        <w:t xml:space="preserve">Clearly, the opportunity of appointment is dependent upon who is in office.  </w:t>
      </w:r>
      <w:r w:rsidR="00E333C6" w:rsidRPr="006C1F06">
        <w:t>Overall, there is a wide variety of factors that impact the presence of women in the judiciary.  In the next section, I explain the research methods used in the analysis.</w:t>
      </w:r>
    </w:p>
    <w:p w:rsidR="00E1666C" w:rsidRPr="00D84741" w:rsidRDefault="00E1666C" w:rsidP="0050161B">
      <w:pPr>
        <w:spacing w:after="20" w:line="240" w:lineRule="auto"/>
        <w:jc w:val="center"/>
        <w:rPr>
          <w:b/>
        </w:rPr>
      </w:pPr>
      <w:r w:rsidRPr="00D84741">
        <w:rPr>
          <w:b/>
        </w:rPr>
        <w:t>Research Method</w:t>
      </w:r>
      <w:r w:rsidR="00D84741" w:rsidRPr="00D84741">
        <w:rPr>
          <w:b/>
        </w:rPr>
        <w:t>s</w:t>
      </w:r>
    </w:p>
    <w:p w:rsidR="00780683" w:rsidRDefault="00DA6F63" w:rsidP="0050161B">
      <w:pPr>
        <w:spacing w:after="20" w:line="240" w:lineRule="auto"/>
        <w:ind w:firstLine="720"/>
      </w:pPr>
      <w:r>
        <w:t xml:space="preserve">For my research paper, </w:t>
      </w:r>
      <w:r w:rsidR="0003422B">
        <w:t>I analyze the role of institution</w:t>
      </w:r>
      <w:r>
        <w:t xml:space="preserve">al </w:t>
      </w:r>
      <w:r w:rsidR="0003422B">
        <w:t>s</w:t>
      </w:r>
      <w:r>
        <w:t>tructure</w:t>
      </w:r>
      <w:r w:rsidR="0003422B">
        <w:t xml:space="preserve"> in rel</w:t>
      </w:r>
      <w:r>
        <w:t xml:space="preserve">ation to gender equality in </w:t>
      </w:r>
      <w:r w:rsidR="00E1666C">
        <w:t xml:space="preserve">both </w:t>
      </w:r>
      <w:r w:rsidR="0003422B">
        <w:t xml:space="preserve">State </w:t>
      </w:r>
      <w:r w:rsidR="00E1666C">
        <w:t xml:space="preserve">and Federal </w:t>
      </w:r>
      <w:r w:rsidR="0003422B">
        <w:t>Supreme Court system</w:t>
      </w:r>
      <w:r>
        <w:t>s</w:t>
      </w:r>
      <w:r w:rsidR="00653A6E" w:rsidRPr="006C1F06">
        <w:t xml:space="preserve">.  I expect both the merit-based and appointment process </w:t>
      </w:r>
      <w:r w:rsidR="0060393A" w:rsidRPr="006C1F06">
        <w:t>to result in higher predicted levels of women on State Supreme Courts than the election processes</w:t>
      </w:r>
      <w:r w:rsidR="006C1F06">
        <w:t xml:space="preserve">.  Considering that </w:t>
      </w:r>
      <w:r w:rsidR="0060393A" w:rsidRPr="006C1F06">
        <w:t>these two processes are the least similar to the election processes used for the legislative and executive branches, which both have a lower percentage of women</w:t>
      </w:r>
      <w:r w:rsidR="009E337C" w:rsidRPr="006C1F06">
        <w:t xml:space="preserve"> present</w:t>
      </w:r>
      <w:r w:rsidR="0060393A" w:rsidRPr="006C1F06">
        <w:t xml:space="preserve"> in comparison to the judiciary</w:t>
      </w:r>
      <w:r w:rsidR="006C1F06">
        <w:t>, I anticipate that using a different selection process will lead to a greater presence of women.</w:t>
      </w:r>
      <w:r w:rsidR="0003422B">
        <w:t xml:space="preserve">  </w:t>
      </w:r>
      <w:r w:rsidR="00780683">
        <w:t>Moreover,</w:t>
      </w:r>
      <w:r w:rsidR="0060393A">
        <w:t xml:space="preserve"> </w:t>
      </w:r>
      <w:r w:rsidR="00780683">
        <w:t>for a clear list of variables used in this model, reference Table 1, and for summary statistics of these variables, reference Table 2.</w:t>
      </w:r>
    </w:p>
    <w:p w:rsidR="00DA6F63" w:rsidRDefault="00780683" w:rsidP="0050161B">
      <w:pPr>
        <w:spacing w:after="20" w:line="240" w:lineRule="auto"/>
        <w:ind w:firstLine="720"/>
      </w:pPr>
      <w:r>
        <w:t xml:space="preserve">Furthermore, </w:t>
      </w:r>
      <w:r w:rsidR="0060393A">
        <w:t>s</w:t>
      </w:r>
      <w:r w:rsidR="00000050">
        <w:t>ince my data is both time ser</w:t>
      </w:r>
      <w:r w:rsidR="009E337C">
        <w:t xml:space="preserve">ies and cross sectional, I </w:t>
      </w:r>
      <w:r w:rsidR="00000050">
        <w:t xml:space="preserve">use a time series ordinary least squares regression for the bulk of the analysis.  </w:t>
      </w:r>
      <w:r w:rsidR="009E337C">
        <w:t>I focus</w:t>
      </w:r>
      <w:r w:rsidR="0003422B">
        <w:t xml:space="preserve"> on the overall </w:t>
      </w:r>
      <w:r w:rsidR="00DA6F63">
        <w:t xml:space="preserve">presence </w:t>
      </w:r>
      <w:r w:rsidR="00A97D82">
        <w:t xml:space="preserve">of </w:t>
      </w:r>
      <w:r w:rsidR="0003422B">
        <w:t xml:space="preserve">female justices on </w:t>
      </w:r>
      <w:r w:rsidR="00E1666C">
        <w:t>these</w:t>
      </w:r>
      <w:r w:rsidR="0003422B">
        <w:t xml:space="preserve"> benches. </w:t>
      </w:r>
      <w:r w:rsidR="00DA6F63">
        <w:t xml:space="preserve">For </w:t>
      </w:r>
      <w:r w:rsidR="009E337C">
        <w:t xml:space="preserve">the scope of this paper, I </w:t>
      </w:r>
      <w:r w:rsidR="00DA6F63">
        <w:t xml:space="preserve">use presence of females on the </w:t>
      </w:r>
      <w:r w:rsidR="00DA6F63">
        <w:lastRenderedPageBreak/>
        <w:t xml:space="preserve">State </w:t>
      </w:r>
      <w:r w:rsidR="00E1666C">
        <w:t xml:space="preserve">and Federal </w:t>
      </w:r>
      <w:r w:rsidR="00DA6F63">
        <w:t>Courts as a proxy for gender equality.  By measuring gender equality by the amount of women present, I do not mean to imply that the mere presence of women in political bodies equates to more gender equality considering that women may not promote a pro-woman agenda or may be limited in action due to institutional structures that</w:t>
      </w:r>
      <w:r w:rsidR="009E337C">
        <w:t xml:space="preserve"> constrain</w:t>
      </w:r>
      <w:r w:rsidR="00DA6F63">
        <w:t xml:space="preserve"> women’s power and influence within the institution.</w:t>
      </w:r>
      <w:r w:rsidR="00016571">
        <w:t xml:space="preserve">  However, having more representation of women in political bodies is an indicator of more avenues toward gender equality in the political arena.</w:t>
      </w:r>
    </w:p>
    <w:p w:rsidR="000F26F1" w:rsidRDefault="009E337C" w:rsidP="0050161B">
      <w:pPr>
        <w:spacing w:after="20" w:line="240" w:lineRule="auto"/>
        <w:ind w:firstLine="720"/>
      </w:pPr>
      <w:r>
        <w:t xml:space="preserve">First, I </w:t>
      </w:r>
      <w:r w:rsidR="000F26F1">
        <w:t xml:space="preserve">examine the impact of the eligibility pool on the level of female judges at the </w:t>
      </w:r>
      <w:r w:rsidR="00AD3F9C">
        <w:t>SSC</w:t>
      </w:r>
      <w:r w:rsidR="000F26F1">
        <w:t xml:space="preserve"> level and the federal judici</w:t>
      </w:r>
      <w:r>
        <w:t xml:space="preserve">ary level.  Essentially, I </w:t>
      </w:r>
      <w:r w:rsidR="000F26F1">
        <w:t>analyze the relationship between the</w:t>
      </w:r>
      <w:r w:rsidR="00470477">
        <w:t xml:space="preserve"> percent of female attorneys and </w:t>
      </w:r>
      <w:r w:rsidR="000F26F1">
        <w:t>the percent of female judges to see if the predicted relationship of a la</w:t>
      </w:r>
      <w:r>
        <w:t>rger eligibility pool increasing</w:t>
      </w:r>
      <w:r w:rsidR="000F26F1">
        <w:t xml:space="preserve"> the presence of women on the courts holds true.  It is important to note that at the federal level, the process of judge selection is similar:  appointment by the President and confirmed by Congress (United States Court, 2013).  However, there is var</w:t>
      </w:r>
      <w:r w:rsidR="00470477">
        <w:t xml:space="preserve">iation between the distribution of women on </w:t>
      </w:r>
      <w:r w:rsidR="000F26F1">
        <w:t>the different courts at the federal level.</w:t>
      </w:r>
    </w:p>
    <w:p w:rsidR="00E1312B" w:rsidRDefault="000F26F1" w:rsidP="0050161B">
      <w:pPr>
        <w:spacing w:after="20" w:line="240" w:lineRule="auto"/>
        <w:ind w:firstLine="720"/>
      </w:pPr>
      <w:r>
        <w:t xml:space="preserve">Next, </w:t>
      </w:r>
      <w:r w:rsidR="00470477">
        <w:t xml:space="preserve">I </w:t>
      </w:r>
      <w:r w:rsidR="00016571">
        <w:t>compare the institutional design</w:t>
      </w:r>
      <w:r w:rsidR="009E337C">
        <w:t xml:space="preserve">, meaning the justice selection process, of State Supreme Courts </w:t>
      </w:r>
      <w:r w:rsidR="00016571">
        <w:t xml:space="preserve">in order to see which </w:t>
      </w:r>
      <w:r w:rsidR="00121D7D">
        <w:t xml:space="preserve">selection </w:t>
      </w:r>
      <w:r w:rsidR="00780683">
        <w:t>process</w:t>
      </w:r>
      <w:r w:rsidR="00016571">
        <w:t xml:space="preserve"> promotes the most equality and inclusion of females in the court system.</w:t>
      </w:r>
      <w:r w:rsidR="0003422B">
        <w:t xml:space="preserve"> </w:t>
      </w:r>
      <w:r w:rsidR="00016571">
        <w:t xml:space="preserve">I focus on </w:t>
      </w:r>
      <w:r w:rsidR="002C128A">
        <w:t xml:space="preserve">the </w:t>
      </w:r>
      <w:r w:rsidR="00AD3F9C">
        <w:t>SSC</w:t>
      </w:r>
      <w:r w:rsidR="00016571">
        <w:t xml:space="preserve"> due to the variance of institutional structures from state to state</w:t>
      </w:r>
      <w:r w:rsidR="00702DE2">
        <w:t>.</w:t>
      </w:r>
      <w:r w:rsidR="00016571">
        <w:t xml:space="preserve">  </w:t>
      </w:r>
      <w:r w:rsidR="002C128A">
        <w:t>Thus, t</w:t>
      </w:r>
      <w:r w:rsidR="007C1E24">
        <w:t>his selection allows</w:t>
      </w:r>
      <w:r w:rsidR="00576550">
        <w:t xml:space="preserve"> for</w:t>
      </w:r>
      <w:r w:rsidR="007C1E24">
        <w:t xml:space="preserve"> more interesting findings because </w:t>
      </w:r>
      <w:r w:rsidR="00780683">
        <w:t>one</w:t>
      </w:r>
      <w:r w:rsidR="007C1E24">
        <w:t xml:space="preserve"> can compare the differences between institutional structures and their relationship to equal gender representation, </w:t>
      </w:r>
      <w:r w:rsidR="00702DE2">
        <w:t>w</w:t>
      </w:r>
      <w:r w:rsidR="00EF5655">
        <w:t>hile also und</w:t>
      </w:r>
      <w:r w:rsidR="00834E60">
        <w:t>erstanding state</w:t>
      </w:r>
      <w:r w:rsidR="00EF5655">
        <w:t xml:space="preserve"> trends in the judiciary</w:t>
      </w:r>
      <w:r w:rsidR="007C1E24">
        <w:t xml:space="preserve">.  </w:t>
      </w:r>
    </w:p>
    <w:p w:rsidR="00395C2F" w:rsidRDefault="008C4D58" w:rsidP="0050161B">
      <w:pPr>
        <w:spacing w:after="20" w:line="240" w:lineRule="auto"/>
        <w:ind w:firstLine="720"/>
      </w:pPr>
      <w:r>
        <w:t xml:space="preserve">At the </w:t>
      </w:r>
      <w:r w:rsidR="00AD3F9C">
        <w:t>SSC</w:t>
      </w:r>
      <w:r>
        <w:t xml:space="preserve"> level, there are seven different judge selection mechanisms:  Partisan Election, Nonpartisan Election, Merit-Based System, Legislative </w:t>
      </w:r>
      <w:r w:rsidR="009F7555">
        <w:t>Election</w:t>
      </w:r>
      <w:r>
        <w:t>, Gubernatorial Appointment with Legislative Confirmation, Gubernatorial Nomination with Executive Council Approval, Gubernatorial Appointment with Confirmation on Judicial Appointment by the State Bar of CA. Reference Figure 1 to establish which process each state uses.</w:t>
      </w:r>
      <w:r w:rsidR="004137C2">
        <w:rPr>
          <w:rStyle w:val="FootnoteReference"/>
        </w:rPr>
        <w:footnoteReference w:id="1"/>
      </w:r>
      <w:r>
        <w:t xml:space="preserve">  </w:t>
      </w:r>
    </w:p>
    <w:p w:rsidR="00810160" w:rsidRPr="004B62F8" w:rsidRDefault="00810160" w:rsidP="0050161B">
      <w:pPr>
        <w:pStyle w:val="Caption"/>
        <w:keepNext/>
        <w:spacing w:after="20"/>
        <w:rPr>
          <w:color w:val="auto"/>
        </w:rPr>
      </w:pPr>
      <w:r w:rsidRPr="004B62F8">
        <w:rPr>
          <w:color w:val="auto"/>
        </w:rPr>
        <w:lastRenderedPageBreak/>
        <w:t xml:space="preserve">Figure </w:t>
      </w:r>
      <w:r w:rsidR="00C93380">
        <w:rPr>
          <w:color w:val="auto"/>
        </w:rPr>
        <w:fldChar w:fldCharType="begin"/>
      </w:r>
      <w:r w:rsidR="00205E6D">
        <w:rPr>
          <w:color w:val="auto"/>
        </w:rPr>
        <w:instrText xml:space="preserve"> SEQ Figure \* ARABIC </w:instrText>
      </w:r>
      <w:r w:rsidR="00C93380">
        <w:rPr>
          <w:color w:val="auto"/>
        </w:rPr>
        <w:fldChar w:fldCharType="separate"/>
      </w:r>
      <w:r w:rsidR="00613334">
        <w:rPr>
          <w:noProof/>
          <w:color w:val="auto"/>
        </w:rPr>
        <w:t>1</w:t>
      </w:r>
      <w:r w:rsidR="00C93380">
        <w:rPr>
          <w:color w:val="auto"/>
        </w:rPr>
        <w:fldChar w:fldCharType="end"/>
      </w:r>
      <w:r w:rsidRPr="004B62F8">
        <w:rPr>
          <w:noProof/>
          <w:color w:val="auto"/>
        </w:rPr>
        <w:t>:  State Supreme Court Judicial Selection Processes</w:t>
      </w:r>
    </w:p>
    <w:p w:rsidR="00395C2F" w:rsidRDefault="009F7555" w:rsidP="0050161B">
      <w:pPr>
        <w:spacing w:after="20" w:line="240" w:lineRule="auto"/>
      </w:pPr>
      <w:r>
        <w:rPr>
          <w:noProof/>
          <w:lang w:eastAsia="ja-JP"/>
        </w:rPr>
        <w:drawing>
          <wp:inline distT="0" distB="0" distL="0" distR="0">
            <wp:extent cx="5943600" cy="3644265"/>
            <wp:effectExtent l="1905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5943600" cy="3644265"/>
                    </a:xfrm>
                    <a:prstGeom prst="rect">
                      <a:avLst/>
                    </a:prstGeom>
                    <a:noFill/>
                    <a:ln w="9525">
                      <a:noFill/>
                      <a:miter lim="800000"/>
                      <a:headEnd/>
                      <a:tailEnd/>
                    </a:ln>
                  </pic:spPr>
                </pic:pic>
              </a:graphicData>
            </a:graphic>
          </wp:inline>
        </w:drawing>
      </w:r>
    </w:p>
    <w:p w:rsidR="009D3015" w:rsidRDefault="009D3015" w:rsidP="0050161B">
      <w:pPr>
        <w:spacing w:after="20" w:line="240" w:lineRule="auto"/>
      </w:pPr>
      <w:r>
        <w:t xml:space="preserve">While there are technically seven different processes of judge selection in the </w:t>
      </w:r>
      <w:r w:rsidR="00EC076F">
        <w:t>State Supreme Courts, I combine</w:t>
      </w:r>
      <w:r>
        <w:t xml:space="preserve"> the last </w:t>
      </w:r>
      <w:r w:rsidR="009F7555">
        <w:t>three</w:t>
      </w:r>
      <w:r>
        <w:t xml:space="preserve"> mechanisms </w:t>
      </w:r>
      <w:r w:rsidR="00780683">
        <w:t xml:space="preserve">in my model </w:t>
      </w:r>
      <w:r>
        <w:t xml:space="preserve">(Gubernatorial Appointment with Legislative Confirmation, Gubernatorial Nomination with Executive Council Approval, </w:t>
      </w:r>
      <w:proofErr w:type="gramStart"/>
      <w:r>
        <w:t>Gubernatorial</w:t>
      </w:r>
      <w:proofErr w:type="gramEnd"/>
      <w:r>
        <w:t xml:space="preserve"> Appointment with Confirmation on Judicial Appointment</w:t>
      </w:r>
      <w:r w:rsidR="00780683">
        <w:t xml:space="preserve"> by the State Bar of CA).  I</w:t>
      </w:r>
      <w:r w:rsidR="00EC076F">
        <w:t xml:space="preserve"> consolidate</w:t>
      </w:r>
      <w:r w:rsidR="00780683">
        <w:t xml:space="preserve"> the</w:t>
      </w:r>
      <w:r>
        <w:t xml:space="preserve"> measurement of appointment to the judiciary in order to </w:t>
      </w:r>
      <w:r w:rsidR="00780683">
        <w:t>create comprehension in the results</w:t>
      </w:r>
      <w:r>
        <w:t xml:space="preserve">.   </w:t>
      </w:r>
      <w:r w:rsidR="004137C2">
        <w:t xml:space="preserve">Furthermore, in my analysis, I use two different models.  In the first model, I include legislative election, which is used in South Carolina and Virginia, and in the second model, I </w:t>
      </w:r>
      <w:r w:rsidR="00780683">
        <w:t>exclude</w:t>
      </w:r>
      <w:r w:rsidR="004137C2">
        <w:t xml:space="preserve"> it since the sample of legislative election was so small it could potentially skew the data.</w:t>
      </w:r>
    </w:p>
    <w:p w:rsidR="00205E6D" w:rsidRDefault="004137C2" w:rsidP="0050161B">
      <w:pPr>
        <w:spacing w:after="20" w:line="240" w:lineRule="auto"/>
        <w:ind w:firstLine="720"/>
      </w:pPr>
      <w:r>
        <w:t>Moreover, s</w:t>
      </w:r>
      <w:r w:rsidR="00A513E1">
        <w:t xml:space="preserve">ince institutional structure is not the </w:t>
      </w:r>
      <w:r w:rsidR="00780683">
        <w:t>single-</w:t>
      </w:r>
      <w:r w:rsidR="00A513E1">
        <w:t>factor influencing gender [in</w:t>
      </w:r>
      <w:proofErr w:type="gramStart"/>
      <w:r w:rsidR="00A513E1">
        <w:t>]equality</w:t>
      </w:r>
      <w:proofErr w:type="gramEnd"/>
      <w:r w:rsidR="00A513E1">
        <w:t xml:space="preserve">, I </w:t>
      </w:r>
      <w:r w:rsidR="00780683">
        <w:t>control for</w:t>
      </w:r>
      <w:r w:rsidR="009F7555">
        <w:t xml:space="preserve"> other possible determinants</w:t>
      </w:r>
      <w:r w:rsidR="00776FE2">
        <w:t xml:space="preserve"> in the model to evaluate to their impact</w:t>
      </w:r>
      <w:r w:rsidR="009F7555">
        <w:t>.</w:t>
      </w:r>
      <w:r w:rsidR="00A513E1">
        <w:t xml:space="preserve">  </w:t>
      </w:r>
      <w:r w:rsidR="00681108">
        <w:t>These</w:t>
      </w:r>
      <w:r w:rsidR="00776FE2">
        <w:t xml:space="preserve"> controls </w:t>
      </w:r>
      <w:r w:rsidR="00681108">
        <w:t xml:space="preserve">include:  </w:t>
      </w:r>
      <w:r w:rsidR="00756B6B">
        <w:t>gender equality indicators</w:t>
      </w:r>
      <w:r w:rsidR="00E1312B">
        <w:t>,</w:t>
      </w:r>
      <w:r w:rsidR="00756B6B">
        <w:t xml:space="preserve"> citizen ideology score</w:t>
      </w:r>
      <w:r w:rsidR="00834E60">
        <w:t>, neighbor diffusion,</w:t>
      </w:r>
      <w:r w:rsidR="00756B6B">
        <w:t xml:space="preserve"> </w:t>
      </w:r>
      <w:r w:rsidR="00756853">
        <w:t xml:space="preserve">regional differences, </w:t>
      </w:r>
      <w:r w:rsidR="00780683">
        <w:t>when O’Connor is</w:t>
      </w:r>
      <w:r w:rsidR="00756853">
        <w:t xml:space="preserve"> nominated to the USSC, </w:t>
      </w:r>
      <w:r w:rsidR="00EC076F">
        <w:t xml:space="preserve">presence of a female chief justice, </w:t>
      </w:r>
      <w:r w:rsidR="00756853">
        <w:t xml:space="preserve">and </w:t>
      </w:r>
      <w:r w:rsidR="00EC076F">
        <w:t>presence of</w:t>
      </w:r>
      <w:r w:rsidR="00756853">
        <w:t xml:space="preserve"> </w:t>
      </w:r>
      <w:r w:rsidR="00EC076F">
        <w:t xml:space="preserve">a </w:t>
      </w:r>
      <w:r w:rsidR="00756853">
        <w:t>female</w:t>
      </w:r>
      <w:r w:rsidR="00EC076F">
        <w:t xml:space="preserve"> governor</w:t>
      </w:r>
      <w:r w:rsidR="00756B6B">
        <w:t xml:space="preserve">.  </w:t>
      </w:r>
    </w:p>
    <w:p w:rsidR="007C5C03" w:rsidRDefault="007C5C03" w:rsidP="0050161B">
      <w:pPr>
        <w:spacing w:after="20" w:line="240" w:lineRule="auto"/>
        <w:ind w:firstLine="720"/>
      </w:pPr>
    </w:p>
    <w:p w:rsidR="007C5C03" w:rsidRDefault="007C5C03" w:rsidP="0050161B">
      <w:pPr>
        <w:spacing w:after="20" w:line="240" w:lineRule="auto"/>
        <w:ind w:firstLine="720"/>
      </w:pPr>
    </w:p>
    <w:p w:rsidR="007C5C03" w:rsidRDefault="007C5C03" w:rsidP="0050161B">
      <w:pPr>
        <w:spacing w:after="20" w:line="240" w:lineRule="auto"/>
        <w:ind w:firstLine="720"/>
      </w:pPr>
    </w:p>
    <w:p w:rsidR="007C5C03" w:rsidRDefault="007C5C03" w:rsidP="0050161B">
      <w:pPr>
        <w:spacing w:after="20" w:line="240" w:lineRule="auto"/>
        <w:ind w:firstLine="720"/>
      </w:pPr>
    </w:p>
    <w:p w:rsidR="007C5C03" w:rsidRDefault="007C5C03" w:rsidP="0050161B">
      <w:pPr>
        <w:spacing w:after="20" w:line="240" w:lineRule="auto"/>
        <w:ind w:firstLine="720"/>
      </w:pPr>
    </w:p>
    <w:p w:rsidR="007C5C03" w:rsidRDefault="007C5C03" w:rsidP="0050161B">
      <w:pPr>
        <w:spacing w:after="20" w:line="240" w:lineRule="auto"/>
        <w:ind w:firstLine="720"/>
      </w:pPr>
    </w:p>
    <w:p w:rsidR="007C5C03" w:rsidRDefault="007C5C03" w:rsidP="0050161B">
      <w:pPr>
        <w:spacing w:after="20" w:line="240" w:lineRule="auto"/>
        <w:ind w:firstLine="720"/>
      </w:pPr>
    </w:p>
    <w:p w:rsidR="007C5C03" w:rsidRDefault="007C5C03" w:rsidP="0050161B">
      <w:pPr>
        <w:spacing w:after="20" w:line="240" w:lineRule="auto"/>
        <w:ind w:firstLine="720"/>
      </w:pPr>
    </w:p>
    <w:p w:rsidR="007C5C03" w:rsidRDefault="007C5C03" w:rsidP="0050161B">
      <w:pPr>
        <w:spacing w:after="20" w:line="240" w:lineRule="auto"/>
        <w:ind w:firstLine="720"/>
      </w:pPr>
    </w:p>
    <w:p w:rsidR="007C5C03" w:rsidRDefault="007C5C03" w:rsidP="0050161B">
      <w:pPr>
        <w:spacing w:after="20" w:line="240" w:lineRule="auto"/>
        <w:ind w:firstLine="720"/>
      </w:pPr>
    </w:p>
    <w:p w:rsidR="00520D44" w:rsidRPr="00287E48" w:rsidRDefault="00520D44" w:rsidP="0050161B">
      <w:pPr>
        <w:spacing w:after="20" w:line="240" w:lineRule="auto"/>
        <w:rPr>
          <w:b/>
          <w:sz w:val="18"/>
          <w:szCs w:val="18"/>
        </w:rPr>
      </w:pPr>
      <w:r w:rsidRPr="004B62F8">
        <w:rPr>
          <w:b/>
          <w:sz w:val="18"/>
          <w:szCs w:val="18"/>
        </w:rPr>
        <w:lastRenderedPageBreak/>
        <w:t xml:space="preserve">Table </w:t>
      </w:r>
      <w:r w:rsidR="00C93380" w:rsidRPr="004B62F8">
        <w:rPr>
          <w:b/>
          <w:sz w:val="18"/>
          <w:szCs w:val="18"/>
        </w:rPr>
        <w:fldChar w:fldCharType="begin"/>
      </w:r>
      <w:r w:rsidRPr="004B62F8">
        <w:rPr>
          <w:b/>
          <w:sz w:val="18"/>
          <w:szCs w:val="18"/>
        </w:rPr>
        <w:instrText xml:space="preserve"> SEQ Table \* ARABIC </w:instrText>
      </w:r>
      <w:r w:rsidR="00C93380" w:rsidRPr="004B62F8">
        <w:rPr>
          <w:b/>
          <w:sz w:val="18"/>
          <w:szCs w:val="18"/>
        </w:rPr>
        <w:fldChar w:fldCharType="separate"/>
      </w:r>
      <w:r w:rsidR="00613334">
        <w:rPr>
          <w:b/>
          <w:noProof/>
          <w:sz w:val="18"/>
          <w:szCs w:val="18"/>
        </w:rPr>
        <w:t>1</w:t>
      </w:r>
      <w:r w:rsidR="00C93380" w:rsidRPr="004B62F8">
        <w:rPr>
          <w:b/>
          <w:sz w:val="18"/>
          <w:szCs w:val="18"/>
        </w:rPr>
        <w:fldChar w:fldCharType="end"/>
      </w:r>
      <w:r w:rsidRPr="004B62F8">
        <w:rPr>
          <w:b/>
          <w:sz w:val="18"/>
          <w:szCs w:val="18"/>
        </w:rPr>
        <w:t>:</w:t>
      </w:r>
      <w:r w:rsidRPr="004B62F8">
        <w:rPr>
          <w:sz w:val="18"/>
          <w:szCs w:val="18"/>
        </w:rPr>
        <w:t xml:space="preserve">  </w:t>
      </w:r>
      <w:r w:rsidRPr="004B62F8">
        <w:rPr>
          <w:b/>
          <w:sz w:val="18"/>
          <w:szCs w:val="18"/>
        </w:rPr>
        <w:t>Variables Used in State Supreme Court Analysis</w:t>
      </w:r>
    </w:p>
    <w:tbl>
      <w:tblPr>
        <w:tblStyle w:val="MediumList11"/>
        <w:tblW w:w="10980" w:type="dxa"/>
        <w:tblInd w:w="-432" w:type="dxa"/>
        <w:tblLook w:val="04A0" w:firstRow="1" w:lastRow="0" w:firstColumn="1" w:lastColumn="0" w:noHBand="0" w:noVBand="1"/>
      </w:tblPr>
      <w:tblGrid>
        <w:gridCol w:w="4050"/>
        <w:gridCol w:w="3870"/>
        <w:gridCol w:w="3060"/>
      </w:tblGrid>
      <w:tr w:rsidR="00756B6B" w:rsidTr="007E3A3D">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00756B6B" w:rsidRPr="006D0DCD" w:rsidRDefault="00756B6B" w:rsidP="0050161B">
            <w:pPr>
              <w:spacing w:after="20"/>
              <w:jc w:val="center"/>
              <w:rPr>
                <w:rFonts w:ascii="Times-Roman" w:hAnsi="Times-Roman" w:cs="Times-Roman"/>
                <w:i/>
                <w:sz w:val="20"/>
                <w:szCs w:val="20"/>
              </w:rPr>
            </w:pPr>
            <w:r w:rsidRPr="006D0DCD">
              <w:rPr>
                <w:rFonts w:ascii="Times-Roman" w:hAnsi="Times-Roman" w:cs="Times-Roman"/>
                <w:i/>
                <w:sz w:val="20"/>
                <w:szCs w:val="20"/>
              </w:rPr>
              <w:t>Response Variable</w:t>
            </w:r>
          </w:p>
        </w:tc>
        <w:tc>
          <w:tcPr>
            <w:tcW w:w="3870" w:type="dxa"/>
            <w:shd w:val="clear" w:color="auto" w:fill="auto"/>
          </w:tcPr>
          <w:p w:rsidR="00756B6B" w:rsidRPr="006D0DCD" w:rsidRDefault="00771065" w:rsidP="0050161B">
            <w:pPr>
              <w:spacing w:after="20"/>
              <w:jc w:val="center"/>
              <w:cnfStyle w:val="100000000000" w:firstRow="1"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Definition</w:t>
            </w:r>
          </w:p>
        </w:tc>
        <w:tc>
          <w:tcPr>
            <w:tcW w:w="3060" w:type="dxa"/>
            <w:shd w:val="clear" w:color="auto" w:fill="auto"/>
          </w:tcPr>
          <w:p w:rsidR="00756B6B" w:rsidRPr="006D0DCD" w:rsidRDefault="00756B6B" w:rsidP="0050161B">
            <w:pPr>
              <w:spacing w:after="20"/>
              <w:jc w:val="center"/>
              <w:cnfStyle w:val="100000000000" w:firstRow="1" w:lastRow="0" w:firstColumn="0" w:lastColumn="0" w:oddVBand="0" w:evenVBand="0" w:oddHBand="0" w:evenHBand="0" w:firstRowFirstColumn="0" w:firstRowLastColumn="0" w:lastRowFirstColumn="0" w:lastRowLastColumn="0"/>
              <w:rPr>
                <w:rFonts w:ascii="Times-Roman" w:hAnsi="Times-Roman" w:cs="Times-Roman"/>
                <w:i/>
                <w:sz w:val="20"/>
                <w:szCs w:val="20"/>
              </w:rPr>
            </w:pPr>
            <w:r w:rsidRPr="006D0DCD">
              <w:rPr>
                <w:rFonts w:ascii="Times-Roman" w:hAnsi="Times-Roman" w:cs="Times-Roman"/>
                <w:i/>
                <w:sz w:val="20"/>
                <w:szCs w:val="20"/>
              </w:rPr>
              <w:t>Main Source</w:t>
            </w:r>
          </w:p>
        </w:tc>
      </w:tr>
      <w:tr w:rsidR="00756B6B" w:rsidTr="007E3A3D">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00756B6B" w:rsidRPr="00AC3185" w:rsidRDefault="00756B6B" w:rsidP="0050161B">
            <w:pPr>
              <w:spacing w:after="20"/>
              <w:rPr>
                <w:rFonts w:ascii="Times-Roman" w:hAnsi="Times-Roman" w:cs="Times-Roman"/>
                <w:b w:val="0"/>
                <w:sz w:val="20"/>
                <w:szCs w:val="20"/>
              </w:rPr>
            </w:pPr>
            <w:r>
              <w:rPr>
                <w:rFonts w:ascii="Times-Roman" w:hAnsi="Times-Roman" w:cs="Times-Roman"/>
                <w:b w:val="0"/>
                <w:sz w:val="20"/>
                <w:szCs w:val="20"/>
              </w:rPr>
              <w:t>Percent of Female Judges</w:t>
            </w:r>
          </w:p>
        </w:tc>
        <w:tc>
          <w:tcPr>
            <w:tcW w:w="3870" w:type="dxa"/>
            <w:shd w:val="clear" w:color="auto" w:fill="auto"/>
          </w:tcPr>
          <w:p w:rsidR="00756B6B" w:rsidRDefault="00756B6B" w:rsidP="0050161B">
            <w:pPr>
              <w:spacing w:after="20"/>
              <w:ind w:left="252" w:hanging="25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 xml:space="preserve">Female </w:t>
            </w:r>
            <w:r w:rsidR="00AD3F9C">
              <w:rPr>
                <w:rFonts w:ascii="Times-Roman" w:hAnsi="Times-Roman" w:cs="Times-Roman"/>
                <w:sz w:val="20"/>
                <w:szCs w:val="20"/>
              </w:rPr>
              <w:t>SSC</w:t>
            </w:r>
            <w:r>
              <w:rPr>
                <w:rFonts w:ascii="Times-Roman" w:hAnsi="Times-Roman" w:cs="Times-Roman"/>
                <w:sz w:val="20"/>
                <w:szCs w:val="20"/>
              </w:rPr>
              <w:t xml:space="preserve"> / total justiceships</w:t>
            </w:r>
          </w:p>
        </w:tc>
        <w:tc>
          <w:tcPr>
            <w:tcW w:w="3060" w:type="dxa"/>
            <w:shd w:val="clear" w:color="auto" w:fill="auto"/>
          </w:tcPr>
          <w:p w:rsidR="00756B6B" w:rsidRPr="006D0DCD"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 xml:space="preserve">Kenney and </w:t>
            </w:r>
            <w:proofErr w:type="spellStart"/>
            <w:r>
              <w:rPr>
                <w:rFonts w:ascii="Times-Roman" w:hAnsi="Times-Roman" w:cs="Times-Roman"/>
                <w:sz w:val="20"/>
                <w:szCs w:val="20"/>
              </w:rPr>
              <w:t>Windett</w:t>
            </w:r>
            <w:proofErr w:type="spellEnd"/>
            <w:r>
              <w:rPr>
                <w:rFonts w:ascii="Times-Roman" w:hAnsi="Times-Roman" w:cs="Times-Roman"/>
                <w:sz w:val="20"/>
                <w:szCs w:val="20"/>
              </w:rPr>
              <w:t>, 201</w:t>
            </w:r>
            <w:r w:rsidR="004B62F8">
              <w:rPr>
                <w:rFonts w:ascii="Times-Roman" w:hAnsi="Times-Roman" w:cs="Times-Roman"/>
                <w:sz w:val="20"/>
                <w:szCs w:val="20"/>
              </w:rPr>
              <w:t>2</w:t>
            </w:r>
          </w:p>
        </w:tc>
      </w:tr>
      <w:tr w:rsidR="00756B6B" w:rsidTr="007E3A3D">
        <w:trPr>
          <w:trHeight w:val="239"/>
        </w:trPr>
        <w:tc>
          <w:tcPr>
            <w:cnfStyle w:val="001000000000" w:firstRow="0" w:lastRow="0" w:firstColumn="1" w:lastColumn="0" w:oddVBand="0" w:evenVBand="0" w:oddHBand="0" w:evenHBand="0" w:firstRowFirstColumn="0" w:firstRowLastColumn="0" w:lastRowFirstColumn="0" w:lastRowLastColumn="0"/>
            <w:tcW w:w="4050" w:type="dxa"/>
            <w:tcBorders>
              <w:top w:val="nil"/>
              <w:bottom w:val="single" w:sz="4" w:space="0" w:color="auto"/>
            </w:tcBorders>
            <w:shd w:val="clear" w:color="auto" w:fill="auto"/>
          </w:tcPr>
          <w:p w:rsidR="00756B6B" w:rsidRPr="006D0DCD" w:rsidRDefault="00756B6B" w:rsidP="0050161B">
            <w:pPr>
              <w:spacing w:after="20"/>
              <w:jc w:val="center"/>
              <w:rPr>
                <w:rFonts w:ascii="Times-Roman" w:hAnsi="Times-Roman" w:cs="Times-Roman"/>
                <w:i/>
                <w:sz w:val="20"/>
                <w:szCs w:val="20"/>
              </w:rPr>
            </w:pPr>
            <w:r w:rsidRPr="006D0DCD">
              <w:rPr>
                <w:rFonts w:ascii="Times-Roman" w:hAnsi="Times-Roman" w:cs="Times-Roman"/>
                <w:i/>
                <w:sz w:val="20"/>
                <w:szCs w:val="20"/>
              </w:rPr>
              <w:t>Explanatory Variables</w:t>
            </w:r>
          </w:p>
        </w:tc>
        <w:tc>
          <w:tcPr>
            <w:tcW w:w="3870" w:type="dxa"/>
            <w:tcBorders>
              <w:top w:val="nil"/>
              <w:bottom w:val="single" w:sz="4" w:space="0" w:color="auto"/>
            </w:tcBorders>
            <w:shd w:val="clear" w:color="auto" w:fill="auto"/>
          </w:tcPr>
          <w:p w:rsidR="00756B6B" w:rsidRPr="006D0DCD" w:rsidRDefault="00756B6B"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Definition</w:t>
            </w:r>
          </w:p>
        </w:tc>
        <w:tc>
          <w:tcPr>
            <w:tcW w:w="3060" w:type="dxa"/>
            <w:tcBorders>
              <w:top w:val="nil"/>
              <w:bottom w:val="single" w:sz="4" w:space="0" w:color="auto"/>
            </w:tcBorders>
            <w:shd w:val="clear" w:color="auto" w:fill="auto"/>
          </w:tcPr>
          <w:p w:rsidR="00756B6B" w:rsidRPr="006D0DCD" w:rsidRDefault="00756B6B"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i/>
                <w:sz w:val="20"/>
                <w:szCs w:val="20"/>
              </w:rPr>
            </w:pPr>
            <w:r w:rsidRPr="006D0DCD">
              <w:rPr>
                <w:rFonts w:ascii="Times-Roman" w:hAnsi="Times-Roman" w:cs="Times-Roman"/>
                <w:i/>
                <w:sz w:val="20"/>
                <w:szCs w:val="20"/>
              </w:rPr>
              <w:t>Main Source</w:t>
            </w:r>
          </w:p>
        </w:tc>
      </w:tr>
      <w:tr w:rsidR="00756B6B" w:rsidRPr="006D0DCD" w:rsidTr="007E3A3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050" w:type="dxa"/>
            <w:tcBorders>
              <w:bottom w:val="nil"/>
            </w:tcBorders>
            <w:shd w:val="clear" w:color="auto" w:fill="auto"/>
          </w:tcPr>
          <w:p w:rsidR="00756B6B" w:rsidRDefault="00756B6B" w:rsidP="0050161B">
            <w:pPr>
              <w:spacing w:after="20"/>
              <w:rPr>
                <w:b w:val="0"/>
                <w:sz w:val="20"/>
                <w:szCs w:val="20"/>
              </w:rPr>
            </w:pPr>
            <w:r>
              <w:rPr>
                <w:b w:val="0"/>
                <w:sz w:val="20"/>
                <w:szCs w:val="20"/>
              </w:rPr>
              <w:t>Judge Selection Processes</w:t>
            </w:r>
          </w:p>
          <w:p w:rsidR="00756B6B" w:rsidRDefault="00756B6B" w:rsidP="0050161B">
            <w:pPr>
              <w:spacing w:after="20"/>
              <w:ind w:left="342"/>
              <w:rPr>
                <w:b w:val="0"/>
                <w:sz w:val="20"/>
                <w:szCs w:val="20"/>
              </w:rPr>
            </w:pPr>
            <w:r>
              <w:rPr>
                <w:b w:val="0"/>
                <w:sz w:val="20"/>
                <w:szCs w:val="20"/>
              </w:rPr>
              <w:t>Partisan Election</w:t>
            </w:r>
          </w:p>
          <w:p w:rsidR="00756B6B" w:rsidRDefault="00756B6B" w:rsidP="0050161B">
            <w:pPr>
              <w:tabs>
                <w:tab w:val="left" w:pos="342"/>
              </w:tabs>
              <w:spacing w:after="20"/>
              <w:ind w:left="342"/>
              <w:rPr>
                <w:b w:val="0"/>
                <w:sz w:val="20"/>
                <w:szCs w:val="20"/>
              </w:rPr>
            </w:pPr>
          </w:p>
          <w:p w:rsidR="00756B6B" w:rsidRDefault="00756B6B" w:rsidP="0050161B">
            <w:pPr>
              <w:tabs>
                <w:tab w:val="left" w:pos="342"/>
              </w:tabs>
              <w:spacing w:after="20"/>
              <w:ind w:left="342"/>
              <w:rPr>
                <w:b w:val="0"/>
                <w:sz w:val="20"/>
                <w:szCs w:val="20"/>
              </w:rPr>
            </w:pPr>
            <w:r>
              <w:rPr>
                <w:b w:val="0"/>
                <w:sz w:val="20"/>
                <w:szCs w:val="20"/>
              </w:rPr>
              <w:t>Nonpartisan Election</w:t>
            </w:r>
          </w:p>
          <w:p w:rsidR="00756B6B" w:rsidRDefault="00756B6B" w:rsidP="0050161B">
            <w:pPr>
              <w:spacing w:after="20"/>
              <w:ind w:left="342"/>
              <w:rPr>
                <w:b w:val="0"/>
                <w:sz w:val="20"/>
                <w:szCs w:val="20"/>
              </w:rPr>
            </w:pPr>
          </w:p>
          <w:p w:rsidR="00C911D1" w:rsidRDefault="00C911D1" w:rsidP="0050161B">
            <w:pPr>
              <w:spacing w:after="20"/>
              <w:ind w:left="342"/>
              <w:rPr>
                <w:b w:val="0"/>
                <w:sz w:val="20"/>
                <w:szCs w:val="20"/>
              </w:rPr>
            </w:pPr>
            <w:r>
              <w:rPr>
                <w:b w:val="0"/>
                <w:sz w:val="20"/>
                <w:szCs w:val="20"/>
              </w:rPr>
              <w:t>Legislative Election</w:t>
            </w:r>
          </w:p>
          <w:p w:rsidR="00756B6B" w:rsidRDefault="00756B6B" w:rsidP="0050161B">
            <w:pPr>
              <w:spacing w:after="20"/>
              <w:ind w:left="342"/>
              <w:rPr>
                <w:b w:val="0"/>
                <w:sz w:val="20"/>
                <w:szCs w:val="20"/>
              </w:rPr>
            </w:pPr>
            <w:r>
              <w:rPr>
                <w:b w:val="0"/>
                <w:sz w:val="20"/>
                <w:szCs w:val="20"/>
              </w:rPr>
              <w:t>Merit-Based System</w:t>
            </w:r>
          </w:p>
          <w:p w:rsidR="00BF14E8" w:rsidRDefault="00BF14E8" w:rsidP="0050161B">
            <w:pPr>
              <w:spacing w:after="20"/>
              <w:rPr>
                <w:b w:val="0"/>
                <w:sz w:val="20"/>
                <w:szCs w:val="20"/>
              </w:rPr>
            </w:pPr>
          </w:p>
          <w:p w:rsidR="00756B6B" w:rsidRDefault="00756B6B" w:rsidP="0050161B">
            <w:pPr>
              <w:spacing w:after="20"/>
              <w:ind w:left="522" w:hanging="180"/>
              <w:rPr>
                <w:b w:val="0"/>
                <w:sz w:val="20"/>
                <w:szCs w:val="20"/>
              </w:rPr>
            </w:pPr>
            <w:r>
              <w:rPr>
                <w:b w:val="0"/>
                <w:sz w:val="20"/>
                <w:szCs w:val="20"/>
              </w:rPr>
              <w:t>Appointment</w:t>
            </w:r>
          </w:p>
          <w:p w:rsidR="00756B6B" w:rsidRDefault="00756B6B" w:rsidP="0050161B">
            <w:pPr>
              <w:spacing w:after="20"/>
              <w:ind w:left="522" w:hanging="180"/>
              <w:rPr>
                <w:b w:val="0"/>
                <w:sz w:val="20"/>
                <w:szCs w:val="20"/>
              </w:rPr>
            </w:pPr>
          </w:p>
          <w:p w:rsidR="00756B6B" w:rsidRDefault="00756B6B" w:rsidP="0050161B">
            <w:pPr>
              <w:spacing w:after="20"/>
              <w:ind w:left="522" w:hanging="180"/>
              <w:rPr>
                <w:b w:val="0"/>
                <w:sz w:val="20"/>
                <w:szCs w:val="20"/>
              </w:rPr>
            </w:pPr>
          </w:p>
          <w:p w:rsidR="00756B6B" w:rsidRDefault="00756B6B" w:rsidP="0050161B">
            <w:pPr>
              <w:spacing w:after="20"/>
              <w:ind w:left="522" w:hanging="180"/>
              <w:rPr>
                <w:b w:val="0"/>
                <w:sz w:val="20"/>
                <w:szCs w:val="20"/>
              </w:rPr>
            </w:pPr>
          </w:p>
          <w:p w:rsidR="00756B6B" w:rsidRDefault="00756B6B" w:rsidP="0050161B">
            <w:pPr>
              <w:spacing w:after="20"/>
              <w:ind w:left="522" w:hanging="180"/>
              <w:rPr>
                <w:b w:val="0"/>
                <w:sz w:val="20"/>
                <w:szCs w:val="20"/>
              </w:rPr>
            </w:pPr>
          </w:p>
          <w:p w:rsidR="00756B6B" w:rsidRDefault="00756B6B" w:rsidP="0050161B">
            <w:pPr>
              <w:spacing w:after="20"/>
              <w:rPr>
                <w:b w:val="0"/>
                <w:sz w:val="20"/>
                <w:szCs w:val="20"/>
              </w:rPr>
            </w:pPr>
          </w:p>
          <w:p w:rsidR="00756B6B" w:rsidRDefault="00756B6B" w:rsidP="0050161B">
            <w:pPr>
              <w:spacing w:after="20"/>
              <w:rPr>
                <w:b w:val="0"/>
                <w:sz w:val="20"/>
                <w:szCs w:val="20"/>
              </w:rPr>
            </w:pPr>
          </w:p>
          <w:p w:rsidR="00756B6B" w:rsidRPr="00F66BD4" w:rsidRDefault="00756B6B" w:rsidP="0050161B">
            <w:pPr>
              <w:spacing w:after="20"/>
              <w:rPr>
                <w:b w:val="0"/>
                <w:sz w:val="20"/>
                <w:szCs w:val="20"/>
              </w:rPr>
            </w:pPr>
            <w:r w:rsidRPr="00F66BD4">
              <w:rPr>
                <w:b w:val="0"/>
                <w:sz w:val="20"/>
                <w:szCs w:val="20"/>
              </w:rPr>
              <w:t>Female Chief Justice Dummy</w:t>
            </w:r>
          </w:p>
        </w:tc>
        <w:tc>
          <w:tcPr>
            <w:tcW w:w="3870" w:type="dxa"/>
            <w:tcBorders>
              <w:bottom w:val="nil"/>
            </w:tcBorders>
            <w:shd w:val="clear" w:color="auto" w:fill="auto"/>
          </w:tcPr>
          <w:p w:rsidR="00756B6B" w:rsidRDefault="00756B6B" w:rsidP="0050161B">
            <w:pPr>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ind w:left="162" w:hanging="16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Statewide popular elections with partisan affiliations</w:t>
            </w:r>
          </w:p>
          <w:p w:rsidR="00756B6B" w:rsidRDefault="00756B6B" w:rsidP="0050161B">
            <w:pPr>
              <w:spacing w:after="20"/>
              <w:ind w:left="162" w:hanging="16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Statewide population elections without partisanship</w:t>
            </w:r>
          </w:p>
          <w:p w:rsidR="00C911D1" w:rsidRDefault="00C911D1" w:rsidP="0050161B">
            <w:pPr>
              <w:spacing w:after="20"/>
              <w:ind w:left="162" w:hanging="16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Election by Legislature</w:t>
            </w:r>
          </w:p>
          <w:p w:rsidR="00756B6B" w:rsidRDefault="00756B6B" w:rsidP="0050161B">
            <w:pPr>
              <w:spacing w:after="20"/>
              <w:ind w:left="162" w:hanging="16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Nominating Commission selects 3 candidate pool from which the Governor appoints</w:t>
            </w:r>
          </w:p>
          <w:p w:rsidR="00756B6B" w:rsidRDefault="00756B6B" w:rsidP="0050161B">
            <w:pPr>
              <w:spacing w:after="20"/>
              <w:ind w:left="162" w:hanging="16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Governor appoints candidate who is approved by Senate</w:t>
            </w:r>
          </w:p>
          <w:p w:rsidR="00756B6B" w:rsidRDefault="00756B6B" w:rsidP="0050161B">
            <w:pPr>
              <w:spacing w:after="20"/>
              <w:ind w:left="162" w:hanging="16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Governor appoints candidate who is approved by Executive Council</w:t>
            </w:r>
          </w:p>
          <w:p w:rsidR="00756B6B" w:rsidRDefault="00756B6B" w:rsidP="0050161B">
            <w:pPr>
              <w:spacing w:after="20"/>
              <w:ind w:left="162" w:hanging="16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Governor appoints candidate who is approved by CA State Bar</w:t>
            </w: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ind w:left="162" w:hanging="16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Dummy to account for a women serving as chief justice</w:t>
            </w:r>
          </w:p>
        </w:tc>
        <w:tc>
          <w:tcPr>
            <w:tcW w:w="3060" w:type="dxa"/>
            <w:tcBorders>
              <w:bottom w:val="nil"/>
            </w:tcBorders>
            <w:shd w:val="clear" w:color="auto" w:fill="auto"/>
          </w:tcPr>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American Judicature Society</w:t>
            </w: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Pr="00475564"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b/>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p w:rsidR="00756B6B" w:rsidRPr="006D0DCD"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 xml:space="preserve">Kenney and </w:t>
            </w:r>
            <w:proofErr w:type="spellStart"/>
            <w:r>
              <w:rPr>
                <w:rFonts w:ascii="Times-Roman" w:hAnsi="Times-Roman" w:cs="Times-Roman"/>
                <w:sz w:val="20"/>
                <w:szCs w:val="20"/>
              </w:rPr>
              <w:t>Windett</w:t>
            </w:r>
            <w:proofErr w:type="spellEnd"/>
            <w:r>
              <w:rPr>
                <w:rFonts w:ascii="Times-Roman" w:hAnsi="Times-Roman" w:cs="Times-Roman"/>
                <w:sz w:val="20"/>
                <w:szCs w:val="20"/>
              </w:rPr>
              <w:t>, 201</w:t>
            </w:r>
            <w:r w:rsidR="00676EE7">
              <w:rPr>
                <w:rFonts w:ascii="Times-Roman" w:hAnsi="Times-Roman" w:cs="Times-Roman"/>
                <w:sz w:val="20"/>
                <w:szCs w:val="20"/>
              </w:rPr>
              <w:t>3</w:t>
            </w:r>
          </w:p>
        </w:tc>
      </w:tr>
      <w:tr w:rsidR="00756B6B" w:rsidRPr="006D0DCD" w:rsidTr="007E3A3D">
        <w:trPr>
          <w:trHeight w:val="239"/>
        </w:trPr>
        <w:tc>
          <w:tcPr>
            <w:cnfStyle w:val="001000000000" w:firstRow="0" w:lastRow="0" w:firstColumn="1" w:lastColumn="0" w:oddVBand="0" w:evenVBand="0" w:oddHBand="0" w:evenHBand="0" w:firstRowFirstColumn="0" w:firstRowLastColumn="0" w:lastRowFirstColumn="0" w:lastRowLastColumn="0"/>
            <w:tcW w:w="4050" w:type="dxa"/>
            <w:tcBorders>
              <w:top w:val="nil"/>
              <w:bottom w:val="nil"/>
            </w:tcBorders>
            <w:shd w:val="clear" w:color="auto" w:fill="auto"/>
          </w:tcPr>
          <w:p w:rsidR="00756B6B" w:rsidRPr="00F66BD4" w:rsidRDefault="00756B6B" w:rsidP="0050161B">
            <w:pPr>
              <w:spacing w:after="20"/>
              <w:ind w:hanging="18"/>
              <w:rPr>
                <w:b w:val="0"/>
                <w:sz w:val="20"/>
                <w:szCs w:val="20"/>
              </w:rPr>
            </w:pPr>
            <w:r w:rsidRPr="00F66BD4">
              <w:rPr>
                <w:b w:val="0"/>
                <w:sz w:val="20"/>
                <w:szCs w:val="20"/>
              </w:rPr>
              <w:t>Number of Contiguous States</w:t>
            </w:r>
          </w:p>
        </w:tc>
        <w:tc>
          <w:tcPr>
            <w:tcW w:w="3870" w:type="dxa"/>
            <w:tcBorders>
              <w:top w:val="nil"/>
              <w:bottom w:val="nil"/>
            </w:tcBorders>
            <w:shd w:val="clear" w:color="auto" w:fill="auto"/>
          </w:tcPr>
          <w:p w:rsidR="00756B6B" w:rsidRDefault="00756B6B" w:rsidP="0050161B">
            <w:pPr>
              <w:spacing w:after="20"/>
              <w:ind w:left="252" w:hanging="252"/>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The number of states bordering a state</w:t>
            </w:r>
          </w:p>
        </w:tc>
        <w:tc>
          <w:tcPr>
            <w:tcW w:w="3060" w:type="dxa"/>
            <w:tcBorders>
              <w:top w:val="nil"/>
              <w:bottom w:val="nil"/>
            </w:tcBorders>
            <w:shd w:val="clear" w:color="auto" w:fill="auto"/>
          </w:tcPr>
          <w:p w:rsidR="00756B6B" w:rsidRPr="00417B42" w:rsidRDefault="00756B6B" w:rsidP="0050161B">
            <w:pPr>
              <w:spacing w:after="20"/>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 xml:space="preserve">Kenney and </w:t>
            </w:r>
            <w:proofErr w:type="spellStart"/>
            <w:r>
              <w:rPr>
                <w:rFonts w:ascii="Times-Roman" w:hAnsi="Times-Roman" w:cs="Times-Roman"/>
                <w:sz w:val="20"/>
                <w:szCs w:val="20"/>
              </w:rPr>
              <w:t>Windett</w:t>
            </w:r>
            <w:proofErr w:type="spellEnd"/>
            <w:r>
              <w:rPr>
                <w:rFonts w:ascii="Times-Roman" w:hAnsi="Times-Roman" w:cs="Times-Roman"/>
                <w:sz w:val="20"/>
                <w:szCs w:val="20"/>
              </w:rPr>
              <w:t>, 201</w:t>
            </w:r>
            <w:r w:rsidR="00676EE7">
              <w:rPr>
                <w:rFonts w:ascii="Times-Roman" w:hAnsi="Times-Roman" w:cs="Times-Roman"/>
                <w:sz w:val="20"/>
                <w:szCs w:val="20"/>
              </w:rPr>
              <w:t>3</w:t>
            </w:r>
          </w:p>
        </w:tc>
      </w:tr>
      <w:tr w:rsidR="00756B6B" w:rsidRPr="006D0DCD" w:rsidTr="007E3A3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050" w:type="dxa"/>
            <w:tcBorders>
              <w:top w:val="nil"/>
            </w:tcBorders>
            <w:shd w:val="clear" w:color="auto" w:fill="auto"/>
          </w:tcPr>
          <w:p w:rsidR="00756B6B" w:rsidRPr="00F66BD4" w:rsidRDefault="00756B6B" w:rsidP="0050161B">
            <w:pPr>
              <w:spacing w:after="20"/>
              <w:rPr>
                <w:b w:val="0"/>
                <w:sz w:val="20"/>
                <w:szCs w:val="20"/>
              </w:rPr>
            </w:pPr>
            <w:r w:rsidRPr="00F66BD4">
              <w:rPr>
                <w:b w:val="0"/>
                <w:sz w:val="20"/>
                <w:szCs w:val="20"/>
              </w:rPr>
              <w:t>Sitting Female Governor Dummy</w:t>
            </w:r>
          </w:p>
        </w:tc>
        <w:tc>
          <w:tcPr>
            <w:tcW w:w="3870" w:type="dxa"/>
            <w:tcBorders>
              <w:top w:val="nil"/>
            </w:tcBorders>
            <w:shd w:val="clear" w:color="auto" w:fill="auto"/>
          </w:tcPr>
          <w:p w:rsidR="00756B6B" w:rsidRDefault="00756B6B" w:rsidP="0050161B">
            <w:pPr>
              <w:spacing w:after="20"/>
              <w:ind w:left="252" w:hanging="25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Dummy to account for the presence of Female Governor</w:t>
            </w:r>
          </w:p>
        </w:tc>
        <w:tc>
          <w:tcPr>
            <w:tcW w:w="3060" w:type="dxa"/>
            <w:tcBorders>
              <w:top w:val="nil"/>
            </w:tcBorders>
            <w:shd w:val="clear" w:color="auto" w:fill="auto"/>
          </w:tcPr>
          <w:p w:rsidR="00756B6B" w:rsidRPr="006D0DCD"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 xml:space="preserve">Kenney and </w:t>
            </w:r>
            <w:proofErr w:type="spellStart"/>
            <w:r>
              <w:rPr>
                <w:rFonts w:ascii="Times-Roman" w:hAnsi="Times-Roman" w:cs="Times-Roman"/>
                <w:sz w:val="20"/>
                <w:szCs w:val="20"/>
              </w:rPr>
              <w:t>Windett</w:t>
            </w:r>
            <w:proofErr w:type="spellEnd"/>
            <w:r>
              <w:rPr>
                <w:rFonts w:ascii="Times-Roman" w:hAnsi="Times-Roman" w:cs="Times-Roman"/>
                <w:sz w:val="20"/>
                <w:szCs w:val="20"/>
              </w:rPr>
              <w:t>, 201</w:t>
            </w:r>
            <w:r w:rsidR="00676EE7">
              <w:rPr>
                <w:rFonts w:ascii="Times-Roman" w:hAnsi="Times-Roman" w:cs="Times-Roman"/>
                <w:sz w:val="20"/>
                <w:szCs w:val="20"/>
              </w:rPr>
              <w:t>3</w:t>
            </w:r>
          </w:p>
        </w:tc>
      </w:tr>
      <w:tr w:rsidR="00756B6B" w:rsidRPr="006D0DCD" w:rsidTr="007E3A3D">
        <w:trPr>
          <w:trHeight w:val="239"/>
        </w:trPr>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00756B6B" w:rsidRPr="00F66BD4" w:rsidRDefault="00756B6B" w:rsidP="0050161B">
            <w:pPr>
              <w:spacing w:after="20"/>
              <w:rPr>
                <w:b w:val="0"/>
                <w:sz w:val="20"/>
                <w:szCs w:val="20"/>
              </w:rPr>
            </w:pPr>
            <w:r w:rsidRPr="00F66BD4">
              <w:rPr>
                <w:b w:val="0"/>
                <w:sz w:val="20"/>
                <w:szCs w:val="20"/>
              </w:rPr>
              <w:t>O’Connor Dummy</w:t>
            </w:r>
          </w:p>
        </w:tc>
        <w:tc>
          <w:tcPr>
            <w:tcW w:w="3870" w:type="dxa"/>
            <w:shd w:val="clear" w:color="auto" w:fill="auto"/>
          </w:tcPr>
          <w:p w:rsidR="00756B6B" w:rsidRDefault="00756B6B" w:rsidP="0050161B">
            <w:pPr>
              <w:spacing w:after="20"/>
              <w:ind w:left="252" w:hanging="252"/>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Dummy to account for the appointment of Sandra Day O’Connor to the USSC in 1981</w:t>
            </w:r>
          </w:p>
        </w:tc>
        <w:tc>
          <w:tcPr>
            <w:tcW w:w="3060" w:type="dxa"/>
            <w:shd w:val="clear" w:color="auto" w:fill="auto"/>
          </w:tcPr>
          <w:p w:rsidR="00756B6B" w:rsidRPr="006D0DCD" w:rsidRDefault="00756B6B" w:rsidP="0050161B">
            <w:pPr>
              <w:spacing w:after="20"/>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 xml:space="preserve">Kenney and </w:t>
            </w:r>
            <w:proofErr w:type="spellStart"/>
            <w:r>
              <w:rPr>
                <w:rFonts w:ascii="Times-Roman" w:hAnsi="Times-Roman" w:cs="Times-Roman"/>
                <w:sz w:val="20"/>
                <w:szCs w:val="20"/>
              </w:rPr>
              <w:t>Windett</w:t>
            </w:r>
            <w:proofErr w:type="spellEnd"/>
            <w:r>
              <w:rPr>
                <w:rFonts w:ascii="Times-Roman" w:hAnsi="Times-Roman" w:cs="Times-Roman"/>
                <w:sz w:val="20"/>
                <w:szCs w:val="20"/>
              </w:rPr>
              <w:t>, 201</w:t>
            </w:r>
            <w:r w:rsidR="00676EE7">
              <w:rPr>
                <w:rFonts w:ascii="Times-Roman" w:hAnsi="Times-Roman" w:cs="Times-Roman"/>
                <w:sz w:val="20"/>
                <w:szCs w:val="20"/>
              </w:rPr>
              <w:t>3</w:t>
            </w:r>
          </w:p>
        </w:tc>
      </w:tr>
      <w:tr w:rsidR="00756B6B" w:rsidRPr="006D0DCD" w:rsidTr="007E3A3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00756B6B" w:rsidRPr="00F66BD4" w:rsidRDefault="00756B6B" w:rsidP="0050161B">
            <w:pPr>
              <w:spacing w:after="20"/>
              <w:rPr>
                <w:b w:val="0"/>
                <w:sz w:val="20"/>
                <w:szCs w:val="20"/>
              </w:rPr>
            </w:pPr>
            <w:r w:rsidRPr="00F66BD4">
              <w:rPr>
                <w:b w:val="0"/>
                <w:sz w:val="20"/>
                <w:szCs w:val="20"/>
              </w:rPr>
              <w:t>Gender Equality Score</w:t>
            </w:r>
          </w:p>
        </w:tc>
        <w:tc>
          <w:tcPr>
            <w:tcW w:w="3870" w:type="dxa"/>
            <w:shd w:val="clear" w:color="auto" w:fill="auto"/>
          </w:tcPr>
          <w:p w:rsidR="00756B6B" w:rsidRDefault="00756B6B" w:rsidP="0050161B">
            <w:pPr>
              <w:spacing w:after="20"/>
              <w:ind w:left="252" w:hanging="25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Factor score with 9 indicators of gender equality and institutions over time</w:t>
            </w:r>
          </w:p>
        </w:tc>
        <w:tc>
          <w:tcPr>
            <w:tcW w:w="3060" w:type="dxa"/>
            <w:shd w:val="clear" w:color="auto" w:fill="auto"/>
          </w:tcPr>
          <w:p w:rsidR="00756B6B" w:rsidRPr="006D0DCD" w:rsidRDefault="00756B6B"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roofErr w:type="spellStart"/>
            <w:r>
              <w:rPr>
                <w:rFonts w:ascii="Times-Roman" w:hAnsi="Times-Roman" w:cs="Times-Roman"/>
                <w:sz w:val="20"/>
                <w:szCs w:val="20"/>
              </w:rPr>
              <w:t>Windett</w:t>
            </w:r>
            <w:proofErr w:type="spellEnd"/>
            <w:r>
              <w:rPr>
                <w:rFonts w:ascii="Times-Roman" w:hAnsi="Times-Roman" w:cs="Times-Roman"/>
                <w:sz w:val="20"/>
                <w:szCs w:val="20"/>
              </w:rPr>
              <w:t>, 2011</w:t>
            </w:r>
          </w:p>
        </w:tc>
      </w:tr>
      <w:tr w:rsidR="00756B6B" w:rsidRPr="006D0DCD" w:rsidTr="007E3A3D">
        <w:trPr>
          <w:trHeight w:val="239"/>
        </w:trPr>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00756B6B" w:rsidRPr="00F66BD4" w:rsidRDefault="00756B6B" w:rsidP="0050161B">
            <w:pPr>
              <w:spacing w:after="20"/>
              <w:rPr>
                <w:b w:val="0"/>
                <w:sz w:val="20"/>
                <w:szCs w:val="20"/>
              </w:rPr>
            </w:pPr>
            <w:r w:rsidRPr="00F66BD4">
              <w:rPr>
                <w:b w:val="0"/>
                <w:sz w:val="20"/>
                <w:szCs w:val="20"/>
              </w:rPr>
              <w:t>State Citizen Ideology</w:t>
            </w:r>
          </w:p>
        </w:tc>
        <w:tc>
          <w:tcPr>
            <w:tcW w:w="3870" w:type="dxa"/>
            <w:shd w:val="clear" w:color="auto" w:fill="auto"/>
          </w:tcPr>
          <w:p w:rsidR="00756B6B" w:rsidRDefault="007E3A3D" w:rsidP="0050161B">
            <w:pPr>
              <w:spacing w:after="20"/>
              <w:ind w:left="252" w:hanging="252"/>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A measure of the ideology of state citizenry</w:t>
            </w:r>
          </w:p>
        </w:tc>
        <w:tc>
          <w:tcPr>
            <w:tcW w:w="3060" w:type="dxa"/>
            <w:shd w:val="clear" w:color="auto" w:fill="auto"/>
          </w:tcPr>
          <w:p w:rsidR="00756B6B" w:rsidRPr="006D0DCD" w:rsidRDefault="00756B6B" w:rsidP="0050161B">
            <w:pPr>
              <w:spacing w:after="20"/>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Berry et al.</w:t>
            </w:r>
            <w:r w:rsidR="009F7555">
              <w:rPr>
                <w:rFonts w:ascii="Times-Roman" w:hAnsi="Times-Roman" w:cs="Times-Roman"/>
                <w:sz w:val="20"/>
                <w:szCs w:val="20"/>
              </w:rPr>
              <w:t>, 1998</w:t>
            </w:r>
          </w:p>
        </w:tc>
      </w:tr>
      <w:tr w:rsidR="00756B6B" w:rsidRPr="006D0DCD" w:rsidTr="007E3A3D">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4050" w:type="dxa"/>
            <w:shd w:val="clear" w:color="auto" w:fill="auto"/>
          </w:tcPr>
          <w:p w:rsidR="00756B6B" w:rsidRPr="00F66BD4" w:rsidRDefault="00756B6B" w:rsidP="0050161B">
            <w:pPr>
              <w:spacing w:after="20"/>
              <w:rPr>
                <w:b w:val="0"/>
                <w:sz w:val="20"/>
                <w:szCs w:val="20"/>
              </w:rPr>
            </w:pPr>
            <w:r>
              <w:rPr>
                <w:b w:val="0"/>
                <w:sz w:val="20"/>
                <w:szCs w:val="20"/>
              </w:rPr>
              <w:t>South Dummy</w:t>
            </w:r>
          </w:p>
        </w:tc>
        <w:tc>
          <w:tcPr>
            <w:tcW w:w="3870" w:type="dxa"/>
            <w:shd w:val="clear" w:color="auto" w:fill="auto"/>
          </w:tcPr>
          <w:p w:rsidR="00756B6B" w:rsidRDefault="00756B6B" w:rsidP="0050161B">
            <w:pPr>
              <w:spacing w:after="20"/>
              <w:ind w:left="252" w:hanging="252"/>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Dummy to account the Southern portion of the United States</w:t>
            </w:r>
          </w:p>
        </w:tc>
        <w:tc>
          <w:tcPr>
            <w:tcW w:w="3060" w:type="dxa"/>
            <w:shd w:val="clear" w:color="auto" w:fill="auto"/>
          </w:tcPr>
          <w:p w:rsidR="00756B6B" w:rsidRDefault="004B62F8" w:rsidP="0050161B">
            <w:pPr>
              <w:spacing w:after="20"/>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 xml:space="preserve">Kenney and </w:t>
            </w:r>
            <w:proofErr w:type="spellStart"/>
            <w:r>
              <w:rPr>
                <w:rFonts w:ascii="Times-Roman" w:hAnsi="Times-Roman" w:cs="Times-Roman"/>
                <w:sz w:val="20"/>
                <w:szCs w:val="20"/>
              </w:rPr>
              <w:t>Windett</w:t>
            </w:r>
            <w:proofErr w:type="spellEnd"/>
            <w:r>
              <w:rPr>
                <w:rFonts w:ascii="Times-Roman" w:hAnsi="Times-Roman" w:cs="Times-Roman"/>
                <w:sz w:val="20"/>
                <w:szCs w:val="20"/>
              </w:rPr>
              <w:t>, 201</w:t>
            </w:r>
            <w:r w:rsidR="00676EE7">
              <w:rPr>
                <w:rFonts w:ascii="Times-Roman" w:hAnsi="Times-Roman" w:cs="Times-Roman"/>
                <w:sz w:val="20"/>
                <w:szCs w:val="20"/>
              </w:rPr>
              <w:t>3</w:t>
            </w:r>
          </w:p>
        </w:tc>
      </w:tr>
    </w:tbl>
    <w:p w:rsidR="00F33EBC" w:rsidRDefault="00F33EBC" w:rsidP="0050161B">
      <w:pPr>
        <w:pStyle w:val="Caption"/>
        <w:keepNext/>
        <w:spacing w:after="20"/>
        <w:rPr>
          <w:color w:val="auto"/>
        </w:rPr>
      </w:pPr>
    </w:p>
    <w:p w:rsidR="00F63A46" w:rsidRPr="00F63A46" w:rsidRDefault="00F63A46" w:rsidP="0050161B">
      <w:pPr>
        <w:spacing w:after="20" w:line="240" w:lineRule="auto"/>
      </w:pPr>
    </w:p>
    <w:p w:rsidR="006E4E3A" w:rsidRPr="004B62F8" w:rsidRDefault="006E4E3A" w:rsidP="0050161B">
      <w:pPr>
        <w:pStyle w:val="Caption"/>
        <w:keepNext/>
        <w:spacing w:after="20"/>
        <w:rPr>
          <w:color w:val="auto"/>
        </w:rPr>
      </w:pPr>
      <w:r w:rsidRPr="004B62F8">
        <w:rPr>
          <w:color w:val="auto"/>
        </w:rPr>
        <w:t xml:space="preserve">Table </w:t>
      </w:r>
      <w:r w:rsidR="00C93380" w:rsidRPr="004B62F8">
        <w:rPr>
          <w:color w:val="auto"/>
        </w:rPr>
        <w:fldChar w:fldCharType="begin"/>
      </w:r>
      <w:r w:rsidRPr="004B62F8">
        <w:rPr>
          <w:color w:val="auto"/>
        </w:rPr>
        <w:instrText xml:space="preserve"> SEQ Table \* ARABIC </w:instrText>
      </w:r>
      <w:r w:rsidR="00C93380" w:rsidRPr="004B62F8">
        <w:rPr>
          <w:color w:val="auto"/>
        </w:rPr>
        <w:fldChar w:fldCharType="separate"/>
      </w:r>
      <w:r w:rsidR="00613334">
        <w:rPr>
          <w:noProof/>
          <w:color w:val="auto"/>
        </w:rPr>
        <w:t>2</w:t>
      </w:r>
      <w:r w:rsidR="00C93380" w:rsidRPr="004B62F8">
        <w:rPr>
          <w:color w:val="auto"/>
        </w:rPr>
        <w:fldChar w:fldCharType="end"/>
      </w:r>
      <w:r w:rsidRPr="004B62F8">
        <w:rPr>
          <w:color w:val="auto"/>
        </w:rPr>
        <w:t>:  Summary Statistics</w:t>
      </w:r>
    </w:p>
    <w:tbl>
      <w:tblPr>
        <w:tblStyle w:val="MediumList11"/>
        <w:tblW w:w="9948" w:type="dxa"/>
        <w:tblInd w:w="-432" w:type="dxa"/>
        <w:tblCellMar>
          <w:left w:w="115" w:type="dxa"/>
          <w:right w:w="115" w:type="dxa"/>
        </w:tblCellMar>
        <w:tblLook w:val="04A0" w:firstRow="1" w:lastRow="0" w:firstColumn="1" w:lastColumn="0" w:noHBand="0" w:noVBand="1"/>
      </w:tblPr>
      <w:tblGrid>
        <w:gridCol w:w="3409"/>
        <w:gridCol w:w="1297"/>
        <w:gridCol w:w="953"/>
        <w:gridCol w:w="1126"/>
        <w:gridCol w:w="1120"/>
        <w:gridCol w:w="923"/>
        <w:gridCol w:w="1120"/>
      </w:tblGrid>
      <w:tr w:rsidR="006E4E3A" w:rsidRPr="006D0DCD" w:rsidTr="006E4E3A">
        <w:trPr>
          <w:cnfStyle w:val="100000000000" w:firstRow="1" w:lastRow="0" w:firstColumn="0" w:lastColumn="0" w:oddVBand="0" w:evenVBand="0" w:oddHBand="0" w:evenHBand="0" w:firstRowFirstColumn="0" w:firstRowLastColumn="0" w:lastRowFirstColumn="0" w:lastRowLastColumn="0"/>
          <w:cantSplit/>
          <w:trHeight w:val="239"/>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vAlign w:val="bottom"/>
          </w:tcPr>
          <w:p w:rsidR="006E4E3A" w:rsidRPr="006D0DCD" w:rsidRDefault="006E4E3A" w:rsidP="0050161B">
            <w:pPr>
              <w:spacing w:after="20"/>
              <w:jc w:val="center"/>
              <w:rPr>
                <w:rFonts w:ascii="Times-Roman" w:hAnsi="Times-Roman" w:cs="Times-Roman"/>
                <w:i/>
                <w:sz w:val="20"/>
                <w:szCs w:val="20"/>
              </w:rPr>
            </w:pPr>
            <w:r w:rsidRPr="006D0DCD">
              <w:rPr>
                <w:rFonts w:ascii="Times-Roman" w:hAnsi="Times-Roman" w:cs="Times-Roman"/>
                <w:i/>
                <w:sz w:val="20"/>
                <w:szCs w:val="20"/>
              </w:rPr>
              <w:t>Response Variable</w:t>
            </w:r>
          </w:p>
        </w:tc>
        <w:tc>
          <w:tcPr>
            <w:tcW w:w="1283" w:type="dxa"/>
            <w:shd w:val="clear" w:color="auto" w:fill="auto"/>
            <w:vAlign w:val="bottom"/>
          </w:tcPr>
          <w:p w:rsidR="006E4E3A" w:rsidRPr="006D0DCD" w:rsidRDefault="006E4E3A" w:rsidP="0050161B">
            <w:pPr>
              <w:spacing w:after="20"/>
              <w:jc w:val="center"/>
              <w:cnfStyle w:val="100000000000" w:firstRow="1"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Observations</w:t>
            </w:r>
          </w:p>
        </w:tc>
        <w:tc>
          <w:tcPr>
            <w:tcW w:w="954" w:type="dxa"/>
            <w:shd w:val="clear" w:color="auto" w:fill="auto"/>
            <w:vAlign w:val="bottom"/>
          </w:tcPr>
          <w:p w:rsidR="006E4E3A" w:rsidRPr="006D0DCD" w:rsidRDefault="006E4E3A" w:rsidP="0050161B">
            <w:pPr>
              <w:spacing w:after="20"/>
              <w:jc w:val="center"/>
              <w:cnfStyle w:val="100000000000" w:firstRow="1"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Mean</w:t>
            </w:r>
          </w:p>
        </w:tc>
        <w:tc>
          <w:tcPr>
            <w:tcW w:w="1127" w:type="dxa"/>
            <w:shd w:val="clear" w:color="auto" w:fill="auto"/>
            <w:vAlign w:val="bottom"/>
          </w:tcPr>
          <w:p w:rsidR="006E4E3A" w:rsidRDefault="006E4E3A" w:rsidP="0050161B">
            <w:pPr>
              <w:tabs>
                <w:tab w:val="left" w:pos="687"/>
              </w:tabs>
              <w:spacing w:after="20"/>
              <w:jc w:val="center"/>
              <w:cnfStyle w:val="100000000000" w:firstRow="1"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Standard Deviation</w:t>
            </w:r>
          </w:p>
        </w:tc>
        <w:tc>
          <w:tcPr>
            <w:tcW w:w="1121" w:type="dxa"/>
            <w:shd w:val="clear" w:color="auto" w:fill="auto"/>
            <w:vAlign w:val="bottom"/>
          </w:tcPr>
          <w:p w:rsidR="006E4E3A" w:rsidRDefault="006E4E3A" w:rsidP="0050161B">
            <w:pPr>
              <w:tabs>
                <w:tab w:val="left" w:pos="687"/>
              </w:tabs>
              <w:spacing w:after="20"/>
              <w:jc w:val="center"/>
              <w:cnfStyle w:val="100000000000" w:firstRow="1"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Minimum</w:t>
            </w:r>
          </w:p>
        </w:tc>
        <w:tc>
          <w:tcPr>
            <w:tcW w:w="923" w:type="dxa"/>
            <w:shd w:val="clear" w:color="auto" w:fill="auto"/>
            <w:vAlign w:val="bottom"/>
          </w:tcPr>
          <w:p w:rsidR="006E4E3A" w:rsidRDefault="006E4E3A" w:rsidP="0050161B">
            <w:pPr>
              <w:tabs>
                <w:tab w:val="left" w:pos="687"/>
              </w:tabs>
              <w:spacing w:after="20"/>
              <w:jc w:val="center"/>
              <w:cnfStyle w:val="100000000000" w:firstRow="1"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Median</w:t>
            </w:r>
          </w:p>
        </w:tc>
        <w:tc>
          <w:tcPr>
            <w:tcW w:w="1120" w:type="dxa"/>
            <w:shd w:val="clear" w:color="auto" w:fill="auto"/>
            <w:vAlign w:val="bottom"/>
          </w:tcPr>
          <w:p w:rsidR="006E4E3A" w:rsidRDefault="006E4E3A" w:rsidP="0050161B">
            <w:pPr>
              <w:tabs>
                <w:tab w:val="left" w:pos="687"/>
              </w:tabs>
              <w:spacing w:after="20"/>
              <w:jc w:val="center"/>
              <w:cnfStyle w:val="100000000000" w:firstRow="1"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Maximum</w:t>
            </w:r>
          </w:p>
        </w:tc>
      </w:tr>
      <w:tr w:rsidR="006E4E3A" w:rsidRPr="006D0DCD" w:rsidTr="006E4E3A">
        <w:trPr>
          <w:cnfStyle w:val="000000100000" w:firstRow="0" w:lastRow="0" w:firstColumn="0" w:lastColumn="0" w:oddVBand="0" w:evenVBand="0" w:oddHBand="1" w:evenHBand="0" w:firstRowFirstColumn="0" w:firstRowLastColumn="0" w:lastRowFirstColumn="0" w:lastRowLastColumn="0"/>
          <w:cantSplit/>
          <w:trHeight w:val="732"/>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tcPr>
          <w:p w:rsidR="006E4E3A" w:rsidRPr="00AC3185" w:rsidRDefault="006E4E3A" w:rsidP="0050161B">
            <w:pPr>
              <w:spacing w:after="20"/>
              <w:jc w:val="center"/>
              <w:rPr>
                <w:rFonts w:ascii="Times-Roman" w:hAnsi="Times-Roman" w:cs="Times-Roman"/>
                <w:b w:val="0"/>
                <w:sz w:val="20"/>
                <w:szCs w:val="20"/>
              </w:rPr>
            </w:pPr>
            <w:r>
              <w:rPr>
                <w:rFonts w:ascii="Times-Roman" w:hAnsi="Times-Roman" w:cs="Times-Roman"/>
                <w:b w:val="0"/>
                <w:sz w:val="20"/>
                <w:szCs w:val="20"/>
              </w:rPr>
              <w:t>Percent of Female Judges</w:t>
            </w:r>
          </w:p>
        </w:tc>
        <w:tc>
          <w:tcPr>
            <w:tcW w:w="1283" w:type="dxa"/>
            <w:shd w:val="clear" w:color="auto" w:fill="auto"/>
          </w:tcPr>
          <w:p w:rsidR="006E4E3A" w:rsidRDefault="006E4E3A" w:rsidP="0050161B">
            <w:pPr>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2100</w:t>
            </w:r>
          </w:p>
        </w:tc>
        <w:tc>
          <w:tcPr>
            <w:tcW w:w="954" w:type="dxa"/>
            <w:shd w:val="clear" w:color="auto" w:fill="auto"/>
          </w:tcPr>
          <w:p w:rsidR="006E4E3A" w:rsidRPr="006D0DCD" w:rsidRDefault="006E4E3A" w:rsidP="0050161B">
            <w:pPr>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15.26</w:t>
            </w:r>
          </w:p>
        </w:tc>
        <w:tc>
          <w:tcPr>
            <w:tcW w:w="1127" w:type="dxa"/>
            <w:shd w:val="clear" w:color="auto" w:fill="auto"/>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16.04</w:t>
            </w:r>
          </w:p>
        </w:tc>
        <w:tc>
          <w:tcPr>
            <w:tcW w:w="1121" w:type="dxa"/>
            <w:shd w:val="clear" w:color="auto" w:fill="auto"/>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0</w:t>
            </w:r>
          </w:p>
        </w:tc>
        <w:tc>
          <w:tcPr>
            <w:tcW w:w="923" w:type="dxa"/>
            <w:shd w:val="clear" w:color="auto" w:fill="auto"/>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14.29</w:t>
            </w:r>
          </w:p>
        </w:tc>
        <w:tc>
          <w:tcPr>
            <w:tcW w:w="1120" w:type="dxa"/>
            <w:shd w:val="clear" w:color="auto" w:fill="auto"/>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60</w:t>
            </w:r>
          </w:p>
        </w:tc>
      </w:tr>
      <w:tr w:rsidR="006E4E3A" w:rsidRPr="006D0DCD" w:rsidTr="006E4E3A">
        <w:trPr>
          <w:cantSplit/>
          <w:trHeight w:val="239"/>
        </w:trPr>
        <w:tc>
          <w:tcPr>
            <w:cnfStyle w:val="001000000000" w:firstRow="0" w:lastRow="0" w:firstColumn="1" w:lastColumn="0" w:oddVBand="0" w:evenVBand="0" w:oddHBand="0" w:evenHBand="0" w:firstRowFirstColumn="0" w:firstRowLastColumn="0" w:lastRowFirstColumn="0" w:lastRowLastColumn="0"/>
            <w:tcW w:w="3420" w:type="dxa"/>
            <w:tcBorders>
              <w:top w:val="nil"/>
              <w:bottom w:val="single" w:sz="4" w:space="0" w:color="auto"/>
            </w:tcBorders>
            <w:shd w:val="clear" w:color="auto" w:fill="auto"/>
            <w:vAlign w:val="bottom"/>
          </w:tcPr>
          <w:p w:rsidR="006E4E3A" w:rsidRPr="006D0DCD" w:rsidRDefault="006E4E3A" w:rsidP="0050161B">
            <w:pPr>
              <w:spacing w:after="20"/>
              <w:jc w:val="center"/>
              <w:rPr>
                <w:rFonts w:ascii="Times-Roman" w:hAnsi="Times-Roman" w:cs="Times-Roman"/>
                <w:i/>
                <w:sz w:val="20"/>
                <w:szCs w:val="20"/>
              </w:rPr>
            </w:pPr>
            <w:r w:rsidRPr="006D0DCD">
              <w:rPr>
                <w:rFonts w:ascii="Times-Roman" w:hAnsi="Times-Roman" w:cs="Times-Roman"/>
                <w:i/>
                <w:sz w:val="20"/>
                <w:szCs w:val="20"/>
              </w:rPr>
              <w:t>Explanatory Variables</w:t>
            </w:r>
          </w:p>
        </w:tc>
        <w:tc>
          <w:tcPr>
            <w:tcW w:w="1283" w:type="dxa"/>
            <w:tcBorders>
              <w:top w:val="nil"/>
              <w:bottom w:val="single" w:sz="4" w:space="0" w:color="auto"/>
            </w:tcBorders>
            <w:shd w:val="clear" w:color="auto" w:fill="auto"/>
            <w:vAlign w:val="bottom"/>
          </w:tcPr>
          <w:p w:rsidR="006E4E3A" w:rsidRPr="006D0DCD" w:rsidRDefault="006E4E3A"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Observations</w:t>
            </w:r>
          </w:p>
        </w:tc>
        <w:tc>
          <w:tcPr>
            <w:tcW w:w="954" w:type="dxa"/>
            <w:tcBorders>
              <w:top w:val="nil"/>
              <w:bottom w:val="single" w:sz="4" w:space="0" w:color="auto"/>
            </w:tcBorders>
            <w:shd w:val="clear" w:color="auto" w:fill="auto"/>
            <w:vAlign w:val="bottom"/>
          </w:tcPr>
          <w:p w:rsidR="006E4E3A" w:rsidRPr="006D0DCD" w:rsidRDefault="006E4E3A"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Mean</w:t>
            </w:r>
          </w:p>
        </w:tc>
        <w:tc>
          <w:tcPr>
            <w:tcW w:w="1127" w:type="dxa"/>
            <w:tcBorders>
              <w:top w:val="nil"/>
              <w:bottom w:val="single" w:sz="4" w:space="0" w:color="auto"/>
            </w:tcBorders>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Standard Deviation</w:t>
            </w:r>
          </w:p>
        </w:tc>
        <w:tc>
          <w:tcPr>
            <w:tcW w:w="1121" w:type="dxa"/>
            <w:tcBorders>
              <w:top w:val="nil"/>
              <w:bottom w:val="single" w:sz="4" w:space="0" w:color="auto"/>
            </w:tcBorders>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Minimum</w:t>
            </w:r>
          </w:p>
        </w:tc>
        <w:tc>
          <w:tcPr>
            <w:tcW w:w="923" w:type="dxa"/>
            <w:tcBorders>
              <w:top w:val="nil"/>
              <w:bottom w:val="single" w:sz="4" w:space="0" w:color="auto"/>
            </w:tcBorders>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Median</w:t>
            </w:r>
          </w:p>
        </w:tc>
        <w:tc>
          <w:tcPr>
            <w:tcW w:w="1120" w:type="dxa"/>
            <w:tcBorders>
              <w:top w:val="nil"/>
              <w:bottom w:val="single" w:sz="4" w:space="0" w:color="auto"/>
            </w:tcBorders>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i/>
                <w:sz w:val="20"/>
                <w:szCs w:val="20"/>
              </w:rPr>
            </w:pPr>
            <w:r>
              <w:rPr>
                <w:rFonts w:ascii="Times-Roman" w:hAnsi="Times-Roman" w:cs="Times-Roman"/>
                <w:i/>
                <w:sz w:val="20"/>
                <w:szCs w:val="20"/>
              </w:rPr>
              <w:t>Maximum</w:t>
            </w:r>
          </w:p>
        </w:tc>
      </w:tr>
      <w:tr w:rsidR="006E4E3A" w:rsidRPr="00417B42" w:rsidTr="006E4E3A">
        <w:trPr>
          <w:cnfStyle w:val="000000100000" w:firstRow="0" w:lastRow="0" w:firstColumn="0" w:lastColumn="0" w:oddVBand="0" w:evenVBand="0" w:oddHBand="1" w:evenHBand="0" w:firstRowFirstColumn="0" w:firstRowLastColumn="0" w:lastRowFirstColumn="0" w:lastRowLastColumn="0"/>
          <w:cantSplit/>
          <w:trHeight w:val="239"/>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vAlign w:val="bottom"/>
          </w:tcPr>
          <w:p w:rsidR="006E4E3A" w:rsidRPr="00F66BD4" w:rsidRDefault="006E4E3A" w:rsidP="0050161B">
            <w:pPr>
              <w:spacing w:after="20"/>
              <w:jc w:val="center"/>
              <w:rPr>
                <w:b w:val="0"/>
                <w:sz w:val="20"/>
                <w:szCs w:val="20"/>
              </w:rPr>
            </w:pPr>
            <w:r>
              <w:rPr>
                <w:b w:val="0"/>
                <w:sz w:val="20"/>
                <w:szCs w:val="20"/>
              </w:rPr>
              <w:t>Judge Selection Processes</w:t>
            </w:r>
          </w:p>
        </w:tc>
        <w:tc>
          <w:tcPr>
            <w:tcW w:w="1283" w:type="dxa"/>
            <w:shd w:val="clear" w:color="auto" w:fill="auto"/>
            <w:vAlign w:val="bottom"/>
          </w:tcPr>
          <w:p w:rsidR="006E4E3A" w:rsidRDefault="006E4E3A" w:rsidP="0050161B">
            <w:pPr>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2100</w:t>
            </w:r>
          </w:p>
        </w:tc>
        <w:tc>
          <w:tcPr>
            <w:tcW w:w="954" w:type="dxa"/>
            <w:shd w:val="clear" w:color="auto" w:fill="auto"/>
            <w:vAlign w:val="bottom"/>
          </w:tcPr>
          <w:p w:rsidR="006E4E3A" w:rsidRDefault="006E4E3A" w:rsidP="0050161B">
            <w:pPr>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2.64</w:t>
            </w:r>
          </w:p>
        </w:tc>
        <w:tc>
          <w:tcPr>
            <w:tcW w:w="1127"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1.03</w:t>
            </w:r>
          </w:p>
        </w:tc>
        <w:tc>
          <w:tcPr>
            <w:tcW w:w="1121"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1</w:t>
            </w:r>
          </w:p>
        </w:tc>
        <w:tc>
          <w:tcPr>
            <w:tcW w:w="923" w:type="dxa"/>
            <w:shd w:val="clear" w:color="auto" w:fill="auto"/>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3</w:t>
            </w:r>
          </w:p>
        </w:tc>
        <w:tc>
          <w:tcPr>
            <w:tcW w:w="1120"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4</w:t>
            </w:r>
          </w:p>
        </w:tc>
      </w:tr>
      <w:tr w:rsidR="006E4E3A" w:rsidRPr="00417B42" w:rsidTr="006E4E3A">
        <w:trPr>
          <w:cantSplit/>
          <w:trHeight w:val="239"/>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vAlign w:val="bottom"/>
          </w:tcPr>
          <w:p w:rsidR="006E4E3A" w:rsidRPr="00F66BD4" w:rsidRDefault="006E4E3A" w:rsidP="0050161B">
            <w:pPr>
              <w:spacing w:after="20"/>
              <w:ind w:hanging="18"/>
              <w:jc w:val="center"/>
              <w:rPr>
                <w:b w:val="0"/>
                <w:sz w:val="20"/>
                <w:szCs w:val="20"/>
              </w:rPr>
            </w:pPr>
            <w:r w:rsidRPr="00F66BD4">
              <w:rPr>
                <w:b w:val="0"/>
                <w:sz w:val="20"/>
                <w:szCs w:val="20"/>
              </w:rPr>
              <w:t>Female Chief Justice Dummy</w:t>
            </w:r>
          </w:p>
        </w:tc>
        <w:tc>
          <w:tcPr>
            <w:tcW w:w="1283" w:type="dxa"/>
            <w:shd w:val="clear" w:color="auto" w:fill="auto"/>
            <w:vAlign w:val="bottom"/>
          </w:tcPr>
          <w:p w:rsidR="006E4E3A" w:rsidRDefault="006E4E3A"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2100</w:t>
            </w:r>
          </w:p>
        </w:tc>
        <w:tc>
          <w:tcPr>
            <w:tcW w:w="954" w:type="dxa"/>
            <w:shd w:val="clear" w:color="auto" w:fill="auto"/>
            <w:vAlign w:val="bottom"/>
          </w:tcPr>
          <w:p w:rsidR="006E4E3A" w:rsidRDefault="006E4E3A"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1127"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1121"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923" w:type="dxa"/>
            <w:shd w:val="clear" w:color="auto" w:fill="auto"/>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1120"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r>
      <w:tr w:rsidR="006E4E3A" w:rsidRPr="00417B42" w:rsidTr="006E4E3A">
        <w:trPr>
          <w:cnfStyle w:val="000000100000" w:firstRow="0" w:lastRow="0" w:firstColumn="0" w:lastColumn="0" w:oddVBand="0" w:evenVBand="0" w:oddHBand="1" w:evenHBand="0" w:firstRowFirstColumn="0" w:firstRowLastColumn="0" w:lastRowFirstColumn="0" w:lastRowLastColumn="0"/>
          <w:cantSplit/>
          <w:trHeight w:val="239"/>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vAlign w:val="bottom"/>
          </w:tcPr>
          <w:p w:rsidR="006E4E3A" w:rsidRPr="00F66BD4" w:rsidRDefault="006E4E3A" w:rsidP="0050161B">
            <w:pPr>
              <w:spacing w:after="20"/>
              <w:ind w:hanging="18"/>
              <w:jc w:val="center"/>
              <w:rPr>
                <w:b w:val="0"/>
                <w:sz w:val="20"/>
                <w:szCs w:val="20"/>
              </w:rPr>
            </w:pPr>
            <w:r w:rsidRPr="00F66BD4">
              <w:rPr>
                <w:b w:val="0"/>
                <w:sz w:val="20"/>
                <w:szCs w:val="20"/>
              </w:rPr>
              <w:t>Number of Contiguous States</w:t>
            </w:r>
          </w:p>
        </w:tc>
        <w:tc>
          <w:tcPr>
            <w:tcW w:w="1283" w:type="dxa"/>
            <w:shd w:val="clear" w:color="auto" w:fill="auto"/>
            <w:vAlign w:val="bottom"/>
          </w:tcPr>
          <w:p w:rsidR="006E4E3A" w:rsidRDefault="006E4E3A" w:rsidP="0050161B">
            <w:pPr>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2100</w:t>
            </w:r>
          </w:p>
        </w:tc>
        <w:tc>
          <w:tcPr>
            <w:tcW w:w="954" w:type="dxa"/>
            <w:shd w:val="clear" w:color="auto" w:fill="auto"/>
            <w:vAlign w:val="bottom"/>
          </w:tcPr>
          <w:p w:rsidR="006E4E3A" w:rsidRPr="00417B42" w:rsidRDefault="006E4E3A" w:rsidP="0050161B">
            <w:pPr>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2..74</w:t>
            </w:r>
          </w:p>
        </w:tc>
        <w:tc>
          <w:tcPr>
            <w:tcW w:w="1127"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2.00</w:t>
            </w:r>
          </w:p>
        </w:tc>
        <w:tc>
          <w:tcPr>
            <w:tcW w:w="1121"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0</w:t>
            </w:r>
          </w:p>
        </w:tc>
        <w:tc>
          <w:tcPr>
            <w:tcW w:w="923" w:type="dxa"/>
            <w:shd w:val="clear" w:color="auto" w:fill="auto"/>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3</w:t>
            </w:r>
          </w:p>
        </w:tc>
        <w:tc>
          <w:tcPr>
            <w:tcW w:w="1120"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8</w:t>
            </w:r>
          </w:p>
        </w:tc>
      </w:tr>
      <w:tr w:rsidR="006E4E3A" w:rsidRPr="006D0DCD" w:rsidTr="006E4E3A">
        <w:trPr>
          <w:cantSplit/>
          <w:trHeight w:val="239"/>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vAlign w:val="bottom"/>
          </w:tcPr>
          <w:p w:rsidR="006E4E3A" w:rsidRPr="00F66BD4" w:rsidRDefault="006E4E3A" w:rsidP="0050161B">
            <w:pPr>
              <w:spacing w:after="20"/>
              <w:jc w:val="center"/>
              <w:rPr>
                <w:b w:val="0"/>
                <w:sz w:val="20"/>
                <w:szCs w:val="20"/>
              </w:rPr>
            </w:pPr>
            <w:r>
              <w:rPr>
                <w:b w:val="0"/>
                <w:sz w:val="20"/>
                <w:szCs w:val="20"/>
              </w:rPr>
              <w:t>Sitting Female Governor Dummy</w:t>
            </w:r>
          </w:p>
        </w:tc>
        <w:tc>
          <w:tcPr>
            <w:tcW w:w="1283" w:type="dxa"/>
            <w:shd w:val="clear" w:color="auto" w:fill="auto"/>
            <w:vAlign w:val="bottom"/>
          </w:tcPr>
          <w:p w:rsidR="006E4E3A" w:rsidRDefault="006E4E3A"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2100</w:t>
            </w:r>
          </w:p>
        </w:tc>
        <w:tc>
          <w:tcPr>
            <w:tcW w:w="954" w:type="dxa"/>
            <w:shd w:val="clear" w:color="auto" w:fill="auto"/>
            <w:vAlign w:val="bottom"/>
          </w:tcPr>
          <w:p w:rsidR="006E4E3A" w:rsidRDefault="006E4E3A"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1127"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1121"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923" w:type="dxa"/>
            <w:shd w:val="clear" w:color="auto" w:fill="auto"/>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1120"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r>
      <w:tr w:rsidR="006E4E3A" w:rsidRPr="006D0DCD" w:rsidTr="006E4E3A">
        <w:trPr>
          <w:cnfStyle w:val="000000100000" w:firstRow="0" w:lastRow="0" w:firstColumn="0" w:lastColumn="0" w:oddVBand="0" w:evenVBand="0" w:oddHBand="1" w:evenHBand="0" w:firstRowFirstColumn="0" w:firstRowLastColumn="0" w:lastRowFirstColumn="0" w:lastRowLastColumn="0"/>
          <w:cantSplit/>
          <w:trHeight w:val="239"/>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vAlign w:val="bottom"/>
          </w:tcPr>
          <w:p w:rsidR="006E4E3A" w:rsidRDefault="006E4E3A" w:rsidP="0050161B">
            <w:pPr>
              <w:spacing w:after="20"/>
              <w:jc w:val="center"/>
              <w:rPr>
                <w:b w:val="0"/>
                <w:sz w:val="20"/>
                <w:szCs w:val="20"/>
              </w:rPr>
            </w:pPr>
            <w:r>
              <w:rPr>
                <w:b w:val="0"/>
                <w:sz w:val="20"/>
                <w:szCs w:val="20"/>
              </w:rPr>
              <w:t>O’Connor Dummy</w:t>
            </w:r>
          </w:p>
        </w:tc>
        <w:tc>
          <w:tcPr>
            <w:tcW w:w="1283" w:type="dxa"/>
            <w:shd w:val="clear" w:color="auto" w:fill="auto"/>
            <w:vAlign w:val="bottom"/>
          </w:tcPr>
          <w:p w:rsidR="006E4E3A" w:rsidRDefault="006E4E3A" w:rsidP="0050161B">
            <w:pPr>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2100</w:t>
            </w:r>
          </w:p>
        </w:tc>
        <w:tc>
          <w:tcPr>
            <w:tcW w:w="954" w:type="dxa"/>
            <w:shd w:val="clear" w:color="auto" w:fill="auto"/>
            <w:vAlign w:val="bottom"/>
          </w:tcPr>
          <w:p w:rsidR="006E4E3A" w:rsidRDefault="006E4E3A" w:rsidP="0050161B">
            <w:pPr>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tc>
        <w:tc>
          <w:tcPr>
            <w:tcW w:w="1127"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tc>
        <w:tc>
          <w:tcPr>
            <w:tcW w:w="1121"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tc>
        <w:tc>
          <w:tcPr>
            <w:tcW w:w="923" w:type="dxa"/>
            <w:shd w:val="clear" w:color="auto" w:fill="auto"/>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tc>
        <w:tc>
          <w:tcPr>
            <w:tcW w:w="1120"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p>
        </w:tc>
      </w:tr>
      <w:tr w:rsidR="006E4E3A" w:rsidRPr="006D0DCD" w:rsidTr="006E4E3A">
        <w:trPr>
          <w:cantSplit/>
          <w:trHeight w:val="239"/>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vAlign w:val="bottom"/>
          </w:tcPr>
          <w:p w:rsidR="006E4E3A" w:rsidRPr="00F66BD4" w:rsidRDefault="006E4E3A" w:rsidP="0050161B">
            <w:pPr>
              <w:spacing w:after="20"/>
              <w:jc w:val="center"/>
              <w:rPr>
                <w:b w:val="0"/>
                <w:sz w:val="20"/>
                <w:szCs w:val="20"/>
              </w:rPr>
            </w:pPr>
            <w:r w:rsidRPr="00F66BD4">
              <w:rPr>
                <w:b w:val="0"/>
                <w:sz w:val="20"/>
                <w:szCs w:val="20"/>
              </w:rPr>
              <w:t>Gender Equality Score</w:t>
            </w:r>
          </w:p>
        </w:tc>
        <w:tc>
          <w:tcPr>
            <w:tcW w:w="1283" w:type="dxa"/>
            <w:shd w:val="clear" w:color="auto" w:fill="auto"/>
            <w:vAlign w:val="bottom"/>
          </w:tcPr>
          <w:p w:rsidR="006E4E3A" w:rsidRDefault="006E4E3A"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2058</w:t>
            </w:r>
          </w:p>
        </w:tc>
        <w:tc>
          <w:tcPr>
            <w:tcW w:w="954" w:type="dxa"/>
            <w:shd w:val="clear" w:color="auto" w:fill="auto"/>
            <w:vAlign w:val="bottom"/>
          </w:tcPr>
          <w:p w:rsidR="006E4E3A" w:rsidRPr="006D0DCD" w:rsidRDefault="006E4E3A"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-0.15</w:t>
            </w:r>
          </w:p>
        </w:tc>
        <w:tc>
          <w:tcPr>
            <w:tcW w:w="1127"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1.06</w:t>
            </w:r>
          </w:p>
        </w:tc>
        <w:tc>
          <w:tcPr>
            <w:tcW w:w="1121"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-2.8</w:t>
            </w:r>
          </w:p>
        </w:tc>
        <w:tc>
          <w:tcPr>
            <w:tcW w:w="923" w:type="dxa"/>
            <w:shd w:val="clear" w:color="auto" w:fill="auto"/>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-0.21</w:t>
            </w:r>
          </w:p>
        </w:tc>
        <w:tc>
          <w:tcPr>
            <w:tcW w:w="1120"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2.43</w:t>
            </w:r>
          </w:p>
        </w:tc>
      </w:tr>
      <w:tr w:rsidR="006E4E3A" w:rsidRPr="006D0DCD" w:rsidTr="006E4E3A">
        <w:trPr>
          <w:cnfStyle w:val="000000100000" w:firstRow="0" w:lastRow="0" w:firstColumn="0" w:lastColumn="0" w:oddVBand="0" w:evenVBand="0" w:oddHBand="1" w:evenHBand="0" w:firstRowFirstColumn="0" w:firstRowLastColumn="0" w:lastRowFirstColumn="0" w:lastRowLastColumn="0"/>
          <w:cantSplit/>
          <w:trHeight w:val="239"/>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vAlign w:val="bottom"/>
          </w:tcPr>
          <w:p w:rsidR="006E4E3A" w:rsidRPr="00F66BD4" w:rsidRDefault="006E4E3A" w:rsidP="0050161B">
            <w:pPr>
              <w:spacing w:after="20"/>
              <w:jc w:val="center"/>
              <w:rPr>
                <w:b w:val="0"/>
                <w:sz w:val="20"/>
                <w:szCs w:val="20"/>
              </w:rPr>
            </w:pPr>
            <w:r w:rsidRPr="00F66BD4">
              <w:rPr>
                <w:b w:val="0"/>
                <w:sz w:val="20"/>
                <w:szCs w:val="20"/>
              </w:rPr>
              <w:t>State Citizen Ideology</w:t>
            </w:r>
          </w:p>
        </w:tc>
        <w:tc>
          <w:tcPr>
            <w:tcW w:w="1283" w:type="dxa"/>
            <w:shd w:val="clear" w:color="auto" w:fill="auto"/>
            <w:vAlign w:val="bottom"/>
          </w:tcPr>
          <w:p w:rsidR="006E4E3A" w:rsidRDefault="006E4E3A" w:rsidP="0050161B">
            <w:pPr>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1950</w:t>
            </w:r>
          </w:p>
        </w:tc>
        <w:tc>
          <w:tcPr>
            <w:tcW w:w="954" w:type="dxa"/>
            <w:shd w:val="clear" w:color="auto" w:fill="auto"/>
            <w:vAlign w:val="bottom"/>
          </w:tcPr>
          <w:p w:rsidR="006E4E3A" w:rsidRPr="006D0DCD" w:rsidRDefault="006E4E3A" w:rsidP="0050161B">
            <w:pPr>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47.498</w:t>
            </w:r>
          </w:p>
        </w:tc>
        <w:tc>
          <w:tcPr>
            <w:tcW w:w="1127"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16.033</w:t>
            </w:r>
          </w:p>
        </w:tc>
        <w:tc>
          <w:tcPr>
            <w:tcW w:w="1121"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7.042</w:t>
            </w:r>
          </w:p>
        </w:tc>
        <w:tc>
          <w:tcPr>
            <w:tcW w:w="923" w:type="dxa"/>
            <w:shd w:val="clear" w:color="auto" w:fill="auto"/>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58.59</w:t>
            </w:r>
          </w:p>
        </w:tc>
        <w:tc>
          <w:tcPr>
            <w:tcW w:w="1120" w:type="dxa"/>
            <w:shd w:val="clear" w:color="auto" w:fill="auto"/>
            <w:vAlign w:val="bottom"/>
          </w:tcPr>
          <w:p w:rsidR="006E4E3A" w:rsidRDefault="006E4E3A" w:rsidP="0050161B">
            <w:pPr>
              <w:tabs>
                <w:tab w:val="left" w:pos="687"/>
              </w:tabs>
              <w:spacing w:after="20"/>
              <w:jc w:val="center"/>
              <w:cnfStyle w:val="000000100000" w:firstRow="0" w:lastRow="0" w:firstColumn="0" w:lastColumn="0" w:oddVBand="0" w:evenVBand="0" w:oddHBand="1"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95.177</w:t>
            </w:r>
          </w:p>
        </w:tc>
      </w:tr>
      <w:tr w:rsidR="006E4E3A" w:rsidRPr="006D0DCD" w:rsidTr="006E4E3A">
        <w:trPr>
          <w:cantSplit/>
          <w:trHeight w:val="239"/>
        </w:trPr>
        <w:tc>
          <w:tcPr>
            <w:cnfStyle w:val="001000000000" w:firstRow="0" w:lastRow="0" w:firstColumn="1" w:lastColumn="0" w:oddVBand="0" w:evenVBand="0" w:oddHBand="0" w:evenHBand="0" w:firstRowFirstColumn="0" w:firstRowLastColumn="0" w:lastRowFirstColumn="0" w:lastRowLastColumn="0"/>
            <w:tcW w:w="3420" w:type="dxa"/>
            <w:shd w:val="clear" w:color="auto" w:fill="auto"/>
            <w:vAlign w:val="bottom"/>
          </w:tcPr>
          <w:p w:rsidR="006E4E3A" w:rsidRPr="00F66BD4" w:rsidRDefault="006E4E3A" w:rsidP="0050161B">
            <w:pPr>
              <w:spacing w:after="20"/>
              <w:jc w:val="center"/>
              <w:rPr>
                <w:b w:val="0"/>
                <w:sz w:val="20"/>
                <w:szCs w:val="20"/>
              </w:rPr>
            </w:pPr>
            <w:r>
              <w:rPr>
                <w:b w:val="0"/>
                <w:sz w:val="20"/>
                <w:szCs w:val="20"/>
              </w:rPr>
              <w:t>South Dummy</w:t>
            </w:r>
          </w:p>
        </w:tc>
        <w:tc>
          <w:tcPr>
            <w:tcW w:w="1283" w:type="dxa"/>
            <w:shd w:val="clear" w:color="auto" w:fill="auto"/>
            <w:vAlign w:val="bottom"/>
          </w:tcPr>
          <w:p w:rsidR="006E4E3A" w:rsidRDefault="006E4E3A"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r>
              <w:rPr>
                <w:rFonts w:ascii="Times-Roman" w:hAnsi="Times-Roman" w:cs="Times-Roman"/>
                <w:sz w:val="20"/>
                <w:szCs w:val="20"/>
              </w:rPr>
              <w:t>2100</w:t>
            </w:r>
          </w:p>
        </w:tc>
        <w:tc>
          <w:tcPr>
            <w:tcW w:w="954" w:type="dxa"/>
            <w:shd w:val="clear" w:color="auto" w:fill="auto"/>
            <w:vAlign w:val="bottom"/>
          </w:tcPr>
          <w:p w:rsidR="006E4E3A" w:rsidRDefault="006E4E3A" w:rsidP="0050161B">
            <w:pPr>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1127"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1121"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923" w:type="dxa"/>
            <w:shd w:val="clear" w:color="auto" w:fill="auto"/>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c>
          <w:tcPr>
            <w:tcW w:w="1120" w:type="dxa"/>
            <w:shd w:val="clear" w:color="auto" w:fill="auto"/>
            <w:vAlign w:val="bottom"/>
          </w:tcPr>
          <w:p w:rsidR="006E4E3A" w:rsidRDefault="006E4E3A" w:rsidP="0050161B">
            <w:pPr>
              <w:tabs>
                <w:tab w:val="left" w:pos="687"/>
              </w:tabs>
              <w:spacing w:after="20"/>
              <w:jc w:val="center"/>
              <w:cnfStyle w:val="000000000000" w:firstRow="0" w:lastRow="0" w:firstColumn="0" w:lastColumn="0" w:oddVBand="0" w:evenVBand="0" w:oddHBand="0" w:evenHBand="0" w:firstRowFirstColumn="0" w:firstRowLastColumn="0" w:lastRowFirstColumn="0" w:lastRowLastColumn="0"/>
              <w:rPr>
                <w:rFonts w:ascii="Times-Roman" w:hAnsi="Times-Roman" w:cs="Times-Roman"/>
                <w:sz w:val="20"/>
                <w:szCs w:val="20"/>
              </w:rPr>
            </w:pPr>
          </w:p>
        </w:tc>
      </w:tr>
    </w:tbl>
    <w:p w:rsidR="006E4E3A" w:rsidRDefault="006E4E3A" w:rsidP="0050161B">
      <w:pPr>
        <w:spacing w:after="20" w:line="240" w:lineRule="auto"/>
      </w:pPr>
    </w:p>
    <w:p w:rsidR="0016011C" w:rsidRDefault="00764512" w:rsidP="0050161B">
      <w:pPr>
        <w:spacing w:after="20" w:line="240" w:lineRule="auto"/>
      </w:pPr>
      <w:r>
        <w:tab/>
      </w:r>
      <w:r w:rsidR="000F26F1">
        <w:t xml:space="preserve">As previously noted, </w:t>
      </w:r>
      <w:r w:rsidR="00395C2F">
        <w:t xml:space="preserve">I </w:t>
      </w:r>
      <w:r w:rsidR="00792ED3">
        <w:t>account for regional differences between State Supreme Courts.</w:t>
      </w:r>
      <w:r w:rsidR="00767C77">
        <w:t xml:space="preserve">  For instance, the South has </w:t>
      </w:r>
      <w:r w:rsidR="00646D9D">
        <w:t>the</w:t>
      </w:r>
      <w:r w:rsidR="00767C77">
        <w:t xml:space="preserve"> culture of Southern </w:t>
      </w:r>
      <w:r w:rsidR="00646D9D">
        <w:t xml:space="preserve">womanhood which is unique to this region and </w:t>
      </w:r>
      <w:r w:rsidR="00771065">
        <w:t>idealizes</w:t>
      </w:r>
      <w:r w:rsidR="00646D9D">
        <w:t xml:space="preserve"> traditional gender roles</w:t>
      </w:r>
      <w:r w:rsidR="00771065">
        <w:t>. I</w:t>
      </w:r>
      <w:r w:rsidR="00646D9D">
        <w:t xml:space="preserve">n comparison, </w:t>
      </w:r>
      <w:r w:rsidR="00771065">
        <w:t>w</w:t>
      </w:r>
      <w:r w:rsidR="00767C77">
        <w:t>estern states used women’s suffrage as a means to statehood</w:t>
      </w:r>
      <w:r w:rsidR="00646D9D">
        <w:t xml:space="preserve"> which in turn promoted gender equality in the state’s</w:t>
      </w:r>
      <w:r w:rsidR="0088606B">
        <w:t xml:space="preserve"> foundation</w:t>
      </w:r>
      <w:r w:rsidR="00767C77">
        <w:t xml:space="preserve">.    </w:t>
      </w:r>
      <w:r w:rsidR="00EC076F">
        <w:t xml:space="preserve">Thus, states have varied histories of promoting gender equality.  </w:t>
      </w:r>
      <w:r w:rsidR="00767C77">
        <w:t>In order to account for potential diff</w:t>
      </w:r>
      <w:r w:rsidR="00771065">
        <w:t xml:space="preserve">erences between regions, I </w:t>
      </w:r>
      <w:r w:rsidR="00767C77">
        <w:t xml:space="preserve">include </w:t>
      </w:r>
      <w:r w:rsidR="00E333C6">
        <w:t xml:space="preserve">a regional dummy variable to </w:t>
      </w:r>
      <w:r w:rsidR="00EC076F">
        <w:t>control</w:t>
      </w:r>
      <w:r w:rsidR="00E333C6">
        <w:t xml:space="preserve"> for southern states</w:t>
      </w:r>
      <w:r w:rsidR="00767C77">
        <w:t>.</w:t>
      </w:r>
      <w:r w:rsidR="00EF5655">
        <w:t xml:space="preserve"> </w:t>
      </w:r>
      <w:r w:rsidR="00CA11DD">
        <w:t xml:space="preserve">  </w:t>
      </w:r>
      <w:r w:rsidR="00470477">
        <w:t>I will also include variables to account for gender equality and citize</w:t>
      </w:r>
      <w:r w:rsidR="00EC076F">
        <w:t>nry</w:t>
      </w:r>
      <w:r w:rsidR="00470477">
        <w:t xml:space="preserve"> ideology in a state.  These variables will provide good estimates of each state’s political culture.  </w:t>
      </w:r>
    </w:p>
    <w:p w:rsidR="00000050" w:rsidRDefault="006E4E3A" w:rsidP="0050161B">
      <w:pPr>
        <w:spacing w:after="20" w:line="240" w:lineRule="auto"/>
      </w:pPr>
      <w:r>
        <w:tab/>
        <w:t>I include the variable accounting for O’Connor’s nomination to the USSC since she was the first women nominated to the Uni</w:t>
      </w:r>
      <w:r w:rsidR="00771065">
        <w:t>ted States’ highest court.  A</w:t>
      </w:r>
      <w:r>
        <w:t xml:space="preserve">s a result, it may increase the likelihood of </w:t>
      </w:r>
      <w:r w:rsidR="00771065">
        <w:t>choosing women</w:t>
      </w:r>
      <w:r>
        <w:t xml:space="preserve"> for the State Supreme Courts.  I also include the variable in regards to whether or not a state has a female governor for two reasons.  First, in the appointment mechanism, the governor generally appoints the prospective candidates, and if the governor is female, she may nominate more female candidates.  Also, if a state elects a female governor, they may be less opposed to electing a female state justice [in states where partisan and nonpartisan elections are used].  In addition, I take into account the presence of a female chief justice on the State Supreme Court since her presence may in some way increase the likelihood of </w:t>
      </w:r>
      <w:r w:rsidR="00EF2C6B">
        <w:t>selecting female judges</w:t>
      </w:r>
      <w:r>
        <w:t xml:space="preserve">. </w:t>
      </w:r>
    </w:p>
    <w:p w:rsidR="00F95E96" w:rsidRPr="00C21544" w:rsidRDefault="00646D9D" w:rsidP="0050161B">
      <w:pPr>
        <w:spacing w:after="20" w:line="240" w:lineRule="auto"/>
        <w:ind w:firstLine="720"/>
        <w:rPr>
          <w:b/>
        </w:rPr>
      </w:pPr>
      <w:r>
        <w:t xml:space="preserve">Overall, this model and its variables can capture the majority of the variance between </w:t>
      </w:r>
      <w:r w:rsidRPr="008632E6">
        <w:t>institutional design of State Supreme Courts and gender equality in judgeships</w:t>
      </w:r>
      <w:r w:rsidRPr="008632E6">
        <w:rPr>
          <w:b/>
        </w:rPr>
        <w:t xml:space="preserve">.   </w:t>
      </w:r>
      <w:r w:rsidR="008632E6" w:rsidRPr="008632E6">
        <w:t>To recapitulate</w:t>
      </w:r>
      <w:r w:rsidR="008A464E" w:rsidRPr="008632E6">
        <w:t>, I expect appointment and the merit-based system to lead to</w:t>
      </w:r>
      <w:r w:rsidR="008632E6" w:rsidRPr="008632E6">
        <w:t xml:space="preserve"> a</w:t>
      </w:r>
      <w:r w:rsidR="008A464E" w:rsidRPr="008632E6">
        <w:t xml:space="preserve"> greater presence of women on the State Supreme Courts</w:t>
      </w:r>
      <w:r w:rsidR="00205E6D" w:rsidRPr="008632E6">
        <w:t xml:space="preserve"> since these two </w:t>
      </w:r>
      <w:r w:rsidR="00C35366">
        <w:t>methods</w:t>
      </w:r>
      <w:r w:rsidR="00205E6D" w:rsidRPr="008632E6">
        <w:t xml:space="preserve"> </w:t>
      </w:r>
      <w:r w:rsidR="007B3F72" w:rsidRPr="008632E6">
        <w:t>are the most distinguished methods from the election processes used in the executive and legislative branches which both have histories of lower levels of women present in elected office.</w:t>
      </w:r>
    </w:p>
    <w:p w:rsidR="008A464E" w:rsidRDefault="008A464E" w:rsidP="0050161B">
      <w:pPr>
        <w:spacing w:after="20" w:line="240" w:lineRule="auto"/>
        <w:ind w:firstLine="720"/>
      </w:pPr>
    </w:p>
    <w:p w:rsidR="00FB5917" w:rsidRDefault="00B54500" w:rsidP="0050161B">
      <w:pPr>
        <w:spacing w:after="20" w:line="240" w:lineRule="auto"/>
        <w:jc w:val="center"/>
        <w:rPr>
          <w:b/>
        </w:rPr>
      </w:pPr>
      <w:r>
        <w:rPr>
          <w:b/>
        </w:rPr>
        <w:t>Analysis</w:t>
      </w:r>
    </w:p>
    <w:p w:rsidR="003A6873" w:rsidRDefault="003C3EF6" w:rsidP="0050161B">
      <w:pPr>
        <w:spacing w:after="20" w:line="240" w:lineRule="auto"/>
      </w:pPr>
      <w:r>
        <w:tab/>
        <w:t>To begin, I will analyze the role of the eligibility pool on the presence of female judges at both the State and Supreme Court levels.</w:t>
      </w:r>
      <w:r w:rsidR="003A6873">
        <w:t xml:space="preserve">  Then, I will examine the impact of specific judicial selection processes, along with other control variables, on the presence of women on State Supreme Courts.  </w:t>
      </w:r>
    </w:p>
    <w:p w:rsidR="00F84EE4" w:rsidRPr="00F84EE4" w:rsidRDefault="007B3F72" w:rsidP="0050161B">
      <w:pPr>
        <w:spacing w:after="20" w:line="240" w:lineRule="auto"/>
        <w:ind w:firstLine="720"/>
      </w:pPr>
      <w:r>
        <w:t xml:space="preserve">For results in regards to the eligibility pool, see Figure 2 and 3 below.  </w:t>
      </w:r>
      <w:r w:rsidR="00810160">
        <w:t>Eligibility pools are important to include in the analysis since candidates selected for positions are chosen</w:t>
      </w:r>
      <w:r w:rsidR="00C35366">
        <w:t xml:space="preserve"> from these potential judgeships</w:t>
      </w:r>
      <w:r w:rsidR="00810160">
        <w:t>, and as a result, an increase of women in the eligibility pool could lead to an increase in the presence of women on the courts.</w:t>
      </w:r>
      <w:r w:rsidR="003C3EF6">
        <w:t xml:space="preserve">  For this analysis, I use the percent of female attorneys as a proxy for the eligibility pool since having a background in law is a general requirement at both the federal and </w:t>
      </w:r>
      <w:r w:rsidR="00AD3F9C">
        <w:t>SSC</w:t>
      </w:r>
      <w:r w:rsidR="003C3EF6">
        <w:t xml:space="preserve"> level</w:t>
      </w:r>
      <w:r w:rsidR="00C35366">
        <w:t>s</w:t>
      </w:r>
      <w:r w:rsidR="003C3EF6">
        <w:t>.</w:t>
      </w:r>
      <w:r w:rsidR="003C3EF6">
        <w:rPr>
          <w:rStyle w:val="FootnoteReference"/>
        </w:rPr>
        <w:footnoteReference w:id="2"/>
      </w:r>
      <w:r w:rsidR="003C3EF6">
        <w:t xml:space="preserve"> </w:t>
      </w:r>
    </w:p>
    <w:p w:rsidR="00205E6D" w:rsidRPr="00205E6D" w:rsidRDefault="00205E6D" w:rsidP="0050161B">
      <w:pPr>
        <w:pStyle w:val="Caption"/>
        <w:keepNext/>
        <w:spacing w:after="20"/>
        <w:jc w:val="center"/>
        <w:rPr>
          <w:color w:val="auto"/>
        </w:rPr>
      </w:pPr>
      <w:r w:rsidRPr="00205E6D">
        <w:rPr>
          <w:color w:val="auto"/>
        </w:rPr>
        <w:lastRenderedPageBreak/>
        <w:t xml:space="preserve">Figure </w:t>
      </w:r>
      <w:r w:rsidR="00C93380" w:rsidRPr="00205E6D">
        <w:rPr>
          <w:color w:val="auto"/>
        </w:rPr>
        <w:fldChar w:fldCharType="begin"/>
      </w:r>
      <w:r w:rsidRPr="00205E6D">
        <w:rPr>
          <w:color w:val="auto"/>
        </w:rPr>
        <w:instrText xml:space="preserve"> SEQ Figure \* ARABIC </w:instrText>
      </w:r>
      <w:r w:rsidR="00C93380" w:rsidRPr="00205E6D">
        <w:rPr>
          <w:color w:val="auto"/>
        </w:rPr>
        <w:fldChar w:fldCharType="separate"/>
      </w:r>
      <w:r w:rsidR="00613334">
        <w:rPr>
          <w:noProof/>
          <w:color w:val="auto"/>
        </w:rPr>
        <w:t>2</w:t>
      </w:r>
      <w:r w:rsidR="00C93380" w:rsidRPr="00205E6D">
        <w:rPr>
          <w:color w:val="auto"/>
        </w:rPr>
        <w:fldChar w:fldCharType="end"/>
      </w:r>
      <w:r w:rsidRPr="00205E6D">
        <w:rPr>
          <w:color w:val="auto"/>
        </w:rPr>
        <w:t>:</w:t>
      </w:r>
      <w:r>
        <w:t xml:space="preserve">  </w:t>
      </w:r>
      <w:r w:rsidR="00DA41FC">
        <w:rPr>
          <w:color w:val="auto"/>
        </w:rPr>
        <w:t>The Relationship between Percent of Female Lawyers and</w:t>
      </w:r>
      <w:r w:rsidRPr="004B62F8">
        <w:rPr>
          <w:color w:val="auto"/>
        </w:rPr>
        <w:t xml:space="preserve"> the Percent of Female Federal Judges</w:t>
      </w:r>
    </w:p>
    <w:p w:rsidR="001B4EE6" w:rsidRDefault="00205E6D" w:rsidP="0050161B">
      <w:pPr>
        <w:spacing w:after="20" w:line="240" w:lineRule="auto"/>
        <w:jc w:val="center"/>
      </w:pPr>
      <w:r>
        <w:rPr>
          <w:noProof/>
          <w:lang w:eastAsia="ja-JP"/>
        </w:rPr>
        <w:drawing>
          <wp:inline distT="0" distB="0" distL="0" distR="0">
            <wp:extent cx="5044311" cy="370332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044311" cy="3703320"/>
                    </a:xfrm>
                    <a:prstGeom prst="rect">
                      <a:avLst/>
                    </a:prstGeom>
                    <a:noFill/>
                    <a:ln w="9525">
                      <a:noFill/>
                      <a:miter lim="800000"/>
                      <a:headEnd/>
                      <a:tailEnd/>
                    </a:ln>
                  </pic:spPr>
                </pic:pic>
              </a:graphicData>
            </a:graphic>
          </wp:inline>
        </w:drawing>
      </w:r>
    </w:p>
    <w:p w:rsidR="00810160" w:rsidRPr="004B62F8" w:rsidRDefault="00810160" w:rsidP="0050161B">
      <w:pPr>
        <w:pStyle w:val="Caption"/>
        <w:keepNext/>
        <w:spacing w:after="20"/>
        <w:jc w:val="center"/>
        <w:rPr>
          <w:color w:val="auto"/>
        </w:rPr>
      </w:pPr>
      <w:r w:rsidRPr="004B62F8">
        <w:rPr>
          <w:color w:val="auto"/>
        </w:rPr>
        <w:t xml:space="preserve">Figure </w:t>
      </w:r>
      <w:r w:rsidR="00C93380">
        <w:rPr>
          <w:color w:val="auto"/>
        </w:rPr>
        <w:fldChar w:fldCharType="begin"/>
      </w:r>
      <w:r w:rsidR="00205E6D">
        <w:rPr>
          <w:color w:val="auto"/>
        </w:rPr>
        <w:instrText xml:space="preserve"> SEQ Figure \* ARABIC </w:instrText>
      </w:r>
      <w:r w:rsidR="00C93380">
        <w:rPr>
          <w:color w:val="auto"/>
        </w:rPr>
        <w:fldChar w:fldCharType="separate"/>
      </w:r>
      <w:r w:rsidR="00613334">
        <w:rPr>
          <w:noProof/>
          <w:color w:val="auto"/>
        </w:rPr>
        <w:t>3</w:t>
      </w:r>
      <w:r w:rsidR="00C93380">
        <w:rPr>
          <w:color w:val="auto"/>
        </w:rPr>
        <w:fldChar w:fldCharType="end"/>
      </w:r>
      <w:r w:rsidR="00DA41FC">
        <w:rPr>
          <w:color w:val="auto"/>
        </w:rPr>
        <w:t xml:space="preserve">: </w:t>
      </w:r>
      <w:r w:rsidRPr="004B62F8">
        <w:rPr>
          <w:color w:val="auto"/>
        </w:rPr>
        <w:t xml:space="preserve">The </w:t>
      </w:r>
      <w:r w:rsidR="00DA41FC">
        <w:rPr>
          <w:color w:val="auto"/>
        </w:rPr>
        <w:t>Relationship between the</w:t>
      </w:r>
      <w:r w:rsidRPr="004B62F8">
        <w:rPr>
          <w:color w:val="auto"/>
        </w:rPr>
        <w:t xml:space="preserve"> Percent of Female Lawyers </w:t>
      </w:r>
      <w:r w:rsidR="00DA41FC">
        <w:rPr>
          <w:color w:val="auto"/>
        </w:rPr>
        <w:t>and</w:t>
      </w:r>
      <w:r w:rsidRPr="004B62F8">
        <w:rPr>
          <w:color w:val="auto"/>
        </w:rPr>
        <w:t xml:space="preserve"> the Percent of Female </w:t>
      </w:r>
      <w:r w:rsidR="00DA41FC">
        <w:rPr>
          <w:color w:val="auto"/>
        </w:rPr>
        <w:t>SSC</w:t>
      </w:r>
      <w:r w:rsidRPr="004B62F8">
        <w:rPr>
          <w:color w:val="auto"/>
        </w:rPr>
        <w:t xml:space="preserve"> Justices</w:t>
      </w:r>
    </w:p>
    <w:p w:rsidR="00004FF1" w:rsidRDefault="00F84EE4" w:rsidP="0050161B">
      <w:pPr>
        <w:spacing w:after="20" w:line="240" w:lineRule="auto"/>
        <w:jc w:val="center"/>
      </w:pPr>
      <w:r>
        <w:rPr>
          <w:noProof/>
          <w:lang w:eastAsia="ja-JP"/>
        </w:rPr>
        <w:drawing>
          <wp:inline distT="0" distB="0" distL="0" distR="0">
            <wp:extent cx="5054954" cy="3703320"/>
            <wp:effectExtent l="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5054954" cy="3703320"/>
                    </a:xfrm>
                    <a:prstGeom prst="rect">
                      <a:avLst/>
                    </a:prstGeom>
                    <a:noFill/>
                    <a:ln w="9525">
                      <a:noFill/>
                      <a:miter lim="800000"/>
                      <a:headEnd/>
                      <a:tailEnd/>
                    </a:ln>
                  </pic:spPr>
                </pic:pic>
              </a:graphicData>
            </a:graphic>
          </wp:inline>
        </w:drawing>
      </w:r>
    </w:p>
    <w:p w:rsidR="00EE1B7E" w:rsidRDefault="00004FF1" w:rsidP="0050161B">
      <w:pPr>
        <w:spacing w:after="20" w:line="240" w:lineRule="auto"/>
      </w:pPr>
      <w:r w:rsidRPr="00004FF1">
        <w:t>From Figure 2 and 3, the f</w:t>
      </w:r>
      <w:r w:rsidR="00475564" w:rsidRPr="00004FF1">
        <w:t xml:space="preserve">emale </w:t>
      </w:r>
      <w:r w:rsidR="00A16B13" w:rsidRPr="00004FF1">
        <w:t xml:space="preserve">eligibility pool </w:t>
      </w:r>
      <w:r w:rsidR="00475564" w:rsidRPr="00004FF1">
        <w:t>for judgeships</w:t>
      </w:r>
      <w:r w:rsidRPr="00004FF1">
        <w:t xml:space="preserve"> increases as</w:t>
      </w:r>
      <w:r w:rsidR="00A16B13" w:rsidRPr="00004FF1">
        <w:t xml:space="preserve"> more women become lawyers, </w:t>
      </w:r>
      <w:r w:rsidR="008C4D58" w:rsidRPr="00004FF1">
        <w:t xml:space="preserve">and as a result, </w:t>
      </w:r>
      <w:r w:rsidR="00A16B13" w:rsidRPr="00004FF1">
        <w:t xml:space="preserve">there is a subsequent increase in the level of females present on both </w:t>
      </w:r>
      <w:r w:rsidR="00A16B13" w:rsidRPr="00004FF1">
        <w:lastRenderedPageBreak/>
        <w:t>Federal Courts and the State Supreme Courts.</w:t>
      </w:r>
      <w:r w:rsidR="00FA2145">
        <w:t xml:space="preserve">  While these figures do not account for the pipelines to the judgeships, they display a positive relationship between the percent of female judges and the percent of female attorneys.</w:t>
      </w:r>
    </w:p>
    <w:p w:rsidR="005A2E9C" w:rsidRDefault="005A2E9C" w:rsidP="0050161B">
      <w:pPr>
        <w:spacing w:after="20" w:line="240" w:lineRule="auto"/>
      </w:pPr>
      <w:r>
        <w:tab/>
        <w:t>In order to better understand the distribution of the judicial selection processes over time, reference Figure 4 a</w:t>
      </w:r>
      <w:r w:rsidR="00C35366">
        <w:t>nd 5.  In Figure 4, I included legislative e</w:t>
      </w:r>
      <w:r>
        <w:t>lections, and in Figure 5, I excl</w:t>
      </w:r>
      <w:r w:rsidR="00C35366">
        <w:t>uded them due to this mechanism</w:t>
      </w:r>
      <w:r>
        <w:t xml:space="preserve"> only being used by two states, South Carolina and Virginia.  In both of these figures, the mean of the percent of females judges is graphed by judicial selection processes from 1970-2010.</w:t>
      </w:r>
    </w:p>
    <w:p w:rsidR="005A2E9C" w:rsidRPr="0051345E" w:rsidRDefault="005A2E9C" w:rsidP="0050161B">
      <w:pPr>
        <w:pStyle w:val="Caption"/>
        <w:keepNext/>
        <w:spacing w:after="20"/>
        <w:jc w:val="center"/>
        <w:rPr>
          <w:color w:val="auto"/>
        </w:rPr>
      </w:pPr>
      <w:r w:rsidRPr="0051345E">
        <w:rPr>
          <w:color w:val="auto"/>
        </w:rPr>
        <w:t xml:space="preserve">Figure </w:t>
      </w:r>
      <w:r>
        <w:rPr>
          <w:color w:val="auto"/>
        </w:rPr>
        <w:t>4</w:t>
      </w:r>
      <w:r w:rsidRPr="0051345E">
        <w:rPr>
          <w:color w:val="auto"/>
        </w:rPr>
        <w:t>:  The Mean of the Percent of Female Judges by Judicial Selection Processes, 1970-2010</w:t>
      </w:r>
    </w:p>
    <w:p w:rsidR="005A2E9C" w:rsidRDefault="005A2E9C" w:rsidP="0050161B">
      <w:pPr>
        <w:spacing w:after="20" w:line="240" w:lineRule="auto"/>
        <w:jc w:val="center"/>
      </w:pPr>
      <w:r>
        <w:rPr>
          <w:noProof/>
          <w:lang w:eastAsia="ja-JP"/>
        </w:rPr>
        <w:drawing>
          <wp:inline distT="0" distB="0" distL="0" distR="0">
            <wp:extent cx="5044313" cy="370332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044313" cy="3703320"/>
                    </a:xfrm>
                    <a:prstGeom prst="rect">
                      <a:avLst/>
                    </a:prstGeom>
                    <a:noFill/>
                    <a:ln w="9525">
                      <a:noFill/>
                      <a:miter lim="800000"/>
                      <a:headEnd/>
                      <a:tailEnd/>
                    </a:ln>
                  </pic:spPr>
                </pic:pic>
              </a:graphicData>
            </a:graphic>
          </wp:inline>
        </w:drawing>
      </w:r>
    </w:p>
    <w:p w:rsidR="005A2E9C" w:rsidRDefault="005A2E9C" w:rsidP="0050161B">
      <w:pPr>
        <w:spacing w:after="20" w:line="240" w:lineRule="auto"/>
      </w:pPr>
      <w:r>
        <w:t xml:space="preserve">In Figure 4, legislative elections are included, but their inclusion is not very informative since changes in the composition of the courts are more visible due to the small sample size.  Thus, including legislative election only illustrates the trends of two states as opposed to a broader picture of the impact of this judicial selection process.  </w:t>
      </w:r>
    </w:p>
    <w:p w:rsidR="005A2E9C" w:rsidRPr="00765AE8" w:rsidRDefault="005A2E9C" w:rsidP="0050161B">
      <w:pPr>
        <w:pStyle w:val="Caption"/>
        <w:keepNext/>
        <w:spacing w:after="20"/>
        <w:jc w:val="center"/>
        <w:rPr>
          <w:color w:val="auto"/>
        </w:rPr>
      </w:pPr>
      <w:r w:rsidRPr="00911224">
        <w:rPr>
          <w:color w:val="auto"/>
        </w:rPr>
        <w:lastRenderedPageBreak/>
        <w:t xml:space="preserve">Figure </w:t>
      </w:r>
      <w:r>
        <w:rPr>
          <w:color w:val="auto"/>
        </w:rPr>
        <w:t>5</w:t>
      </w:r>
      <w:r w:rsidRPr="00911224">
        <w:rPr>
          <w:color w:val="auto"/>
        </w:rPr>
        <w:t>:  The Mean of the Percent of Female Judges by Judicial Selection Processes, 1970-201</w:t>
      </w:r>
      <w:r>
        <w:rPr>
          <w:color w:val="auto"/>
        </w:rPr>
        <w:t>0</w:t>
      </w:r>
    </w:p>
    <w:p w:rsidR="005A2E9C" w:rsidRDefault="00F84F13" w:rsidP="0050161B">
      <w:pPr>
        <w:spacing w:after="20" w:line="240" w:lineRule="auto"/>
        <w:jc w:val="center"/>
      </w:pPr>
      <w:r>
        <w:rPr>
          <w:noProof/>
          <w:lang w:eastAsia="ja-JP"/>
        </w:rPr>
        <w:drawing>
          <wp:inline distT="0" distB="0" distL="0" distR="0">
            <wp:extent cx="5054953" cy="3703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054953" cy="3703320"/>
                    </a:xfrm>
                    <a:prstGeom prst="rect">
                      <a:avLst/>
                    </a:prstGeom>
                    <a:noFill/>
                    <a:ln w="9525">
                      <a:noFill/>
                      <a:miter lim="800000"/>
                      <a:headEnd/>
                      <a:tailEnd/>
                    </a:ln>
                  </pic:spPr>
                </pic:pic>
              </a:graphicData>
            </a:graphic>
          </wp:inline>
        </w:drawing>
      </w:r>
    </w:p>
    <w:p w:rsidR="005A2E9C" w:rsidRPr="000F7B9F" w:rsidRDefault="005A2E9C" w:rsidP="0050161B">
      <w:pPr>
        <w:spacing w:after="20" w:line="240" w:lineRule="auto"/>
        <w:jc w:val="center"/>
        <w:rPr>
          <w:i/>
          <w:sz w:val="18"/>
          <w:szCs w:val="18"/>
        </w:rPr>
      </w:pPr>
      <w:r w:rsidRPr="000F7B9F">
        <w:rPr>
          <w:i/>
          <w:sz w:val="18"/>
          <w:szCs w:val="18"/>
        </w:rPr>
        <w:t>Note:  This graph does not include information South Carolina and Virginia due to their use of legislative elections.</w:t>
      </w:r>
    </w:p>
    <w:p w:rsidR="005A2E9C" w:rsidRPr="00765AE8" w:rsidRDefault="005A2E9C" w:rsidP="0050161B">
      <w:pPr>
        <w:spacing w:after="20" w:line="240" w:lineRule="auto"/>
        <w:jc w:val="center"/>
        <w:rPr>
          <w:sz w:val="18"/>
          <w:szCs w:val="18"/>
        </w:rPr>
      </w:pPr>
    </w:p>
    <w:p w:rsidR="005A2E9C" w:rsidRDefault="005A2E9C" w:rsidP="0050161B">
      <w:pPr>
        <w:spacing w:after="20" w:line="240" w:lineRule="auto"/>
      </w:pPr>
      <w:r>
        <w:t>As a result, I also included Figure 7 which presents a more accurate illustration of trends of judicial selection processes in State Supreme Courts.  In this figure, the shift in the slope in the early 1990s</w:t>
      </w:r>
      <w:r w:rsidR="007B3F72">
        <w:t xml:space="preserve"> is particularly interesting</w:t>
      </w:r>
      <w:r>
        <w:t>.</w:t>
      </w:r>
      <w:r>
        <w:rPr>
          <w:rStyle w:val="FootnoteReference"/>
        </w:rPr>
        <w:footnoteReference w:id="3"/>
      </w:r>
      <w:r>
        <w:t xml:space="preserve">  Prior to this period, the increase in the mean of the percent of female judges is more subtle, but in 1992, the mean percent of female judges rises at a much faster rate.  1992 is als</w:t>
      </w:r>
      <w:r w:rsidR="00043093">
        <w:t>o known as the “Year of the Woma</w:t>
      </w:r>
      <w:r>
        <w:t>n” where the presence of elected wom</w:t>
      </w:r>
      <w:r w:rsidR="007B3F72">
        <w:t>en spiked (</w:t>
      </w:r>
      <w:proofErr w:type="spellStart"/>
      <w:r w:rsidR="007B3F72">
        <w:t>Swers</w:t>
      </w:r>
      <w:proofErr w:type="spellEnd"/>
      <w:r w:rsidR="007B3F72">
        <w:t xml:space="preserve">, 2002). While there is </w:t>
      </w:r>
      <w:r>
        <w:t>an increase in femal</w:t>
      </w:r>
      <w:r w:rsidR="007B3F72">
        <w:t>e legislators, there is a simultaneous</w:t>
      </w:r>
      <w:r>
        <w:t xml:space="preserve"> increase in female judges at the </w:t>
      </w:r>
      <w:r w:rsidR="00AD3F9C">
        <w:t>SSC</w:t>
      </w:r>
      <w:r>
        <w:t xml:space="preserve"> level.  </w:t>
      </w:r>
      <w:r w:rsidR="007B3F72">
        <w:t>Interestingly, the</w:t>
      </w:r>
      <w:r>
        <w:t xml:space="preserve"> presence of women in different political bodies increased </w:t>
      </w:r>
      <w:r w:rsidR="00C35366">
        <w:t>concurrently which demonstrates</w:t>
      </w:r>
      <w:r>
        <w:t xml:space="preserve"> the likelihood of </w:t>
      </w:r>
      <w:r w:rsidR="00C35366">
        <w:t>coexisting</w:t>
      </w:r>
      <w:r>
        <w:t xml:space="preserve"> factors to increase the presence of women regardless of the political institution. </w:t>
      </w:r>
    </w:p>
    <w:p w:rsidR="00205E6D" w:rsidRDefault="007B3F72" w:rsidP="0050161B">
      <w:pPr>
        <w:spacing w:after="20" w:line="240" w:lineRule="auto"/>
      </w:pPr>
      <w:r>
        <w:tab/>
        <w:t xml:space="preserve">Next, I </w:t>
      </w:r>
      <w:r w:rsidR="005168F1">
        <w:t xml:space="preserve">discuss the impact of judicial selection processes on the presence of women on State Supreme Courts.  For my regression table, please reference Table A1 </w:t>
      </w:r>
      <w:r w:rsidR="003510CF">
        <w:t xml:space="preserve">and A2 </w:t>
      </w:r>
      <w:r w:rsidR="005168F1">
        <w:t>in the Appendix.</w:t>
      </w:r>
      <w:r w:rsidR="005A2E9C">
        <w:t xml:space="preserve">  Figure 6 and 7</w:t>
      </w:r>
      <w:r w:rsidR="004137C2">
        <w:t xml:space="preserve"> demonstrate the relationship between the selection processes and the predicted</w:t>
      </w:r>
      <w:r w:rsidR="00C35366">
        <w:t xml:space="preserve"> percent of Female SSC</w:t>
      </w:r>
      <w:r w:rsidR="004137C2">
        <w:t xml:space="preserve"> judges</w:t>
      </w:r>
      <w:r w:rsidR="005F726C">
        <w:t>, and to clarif</w:t>
      </w:r>
      <w:r w:rsidR="005A2E9C">
        <w:t>y, Figure 6</w:t>
      </w:r>
      <w:r w:rsidR="005F726C">
        <w:t xml:space="preserve"> includes Virginia and South Carolin</w:t>
      </w:r>
      <w:r w:rsidR="005A2E9C">
        <w:t>a in the analysis while Figure 7</w:t>
      </w:r>
      <w:r w:rsidR="005F726C">
        <w:t xml:space="preserve"> excludes them due to the small sample of data</w:t>
      </w:r>
      <w:r w:rsidR="004137C2">
        <w:t xml:space="preserve">.  </w:t>
      </w:r>
    </w:p>
    <w:p w:rsidR="00205E6D" w:rsidRDefault="00205E6D" w:rsidP="0050161B">
      <w:pPr>
        <w:pStyle w:val="Caption"/>
        <w:keepNext/>
        <w:spacing w:after="20"/>
        <w:jc w:val="center"/>
      </w:pPr>
      <w:r w:rsidRPr="00205E6D">
        <w:rPr>
          <w:color w:val="auto"/>
        </w:rPr>
        <w:lastRenderedPageBreak/>
        <w:t>Figure</w:t>
      </w:r>
      <w:r w:rsidR="005A2E9C">
        <w:rPr>
          <w:color w:val="auto"/>
        </w:rPr>
        <w:t xml:space="preserve"> 6</w:t>
      </w:r>
      <w:r w:rsidRPr="00205E6D">
        <w:rPr>
          <w:color w:val="auto"/>
        </w:rPr>
        <w:t>:</w:t>
      </w:r>
      <w:r>
        <w:t xml:space="preserve">  </w:t>
      </w:r>
      <w:r w:rsidRPr="00205E6D">
        <w:rPr>
          <w:color w:val="auto"/>
        </w:rPr>
        <w:t>The Predicted Percent of Females on State Supreme Courts by Selection Mechanism (90% CIs)</w:t>
      </w:r>
    </w:p>
    <w:p w:rsidR="00205E6D" w:rsidRDefault="00911224" w:rsidP="0050161B">
      <w:pPr>
        <w:keepNext/>
        <w:spacing w:after="20" w:line="240" w:lineRule="auto"/>
        <w:jc w:val="center"/>
      </w:pPr>
      <w:r>
        <w:rPr>
          <w:noProof/>
          <w:lang w:eastAsia="ja-JP"/>
        </w:rPr>
        <w:drawing>
          <wp:inline distT="0" distB="0" distL="0" distR="0">
            <wp:extent cx="5042819" cy="37033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042819" cy="3703320"/>
                    </a:xfrm>
                    <a:prstGeom prst="rect">
                      <a:avLst/>
                    </a:prstGeom>
                    <a:noFill/>
                    <a:ln w="9525">
                      <a:noFill/>
                      <a:miter lim="800000"/>
                      <a:headEnd/>
                      <a:tailEnd/>
                    </a:ln>
                  </pic:spPr>
                </pic:pic>
              </a:graphicData>
            </a:graphic>
          </wp:inline>
        </w:drawing>
      </w:r>
    </w:p>
    <w:p w:rsidR="003510CF" w:rsidRDefault="007B3F72" w:rsidP="0050161B">
      <w:pPr>
        <w:keepNext/>
        <w:spacing w:after="20" w:line="240" w:lineRule="auto"/>
      </w:pPr>
      <w:r>
        <w:tab/>
        <w:t>In Figure 6</w:t>
      </w:r>
      <w:r w:rsidR="005F726C">
        <w:t>, legislative election provides the largest pre</w:t>
      </w:r>
      <w:r w:rsidR="00C35366">
        <w:t>dicted percent of females on</w:t>
      </w:r>
      <w:r w:rsidR="005F726C">
        <w:t xml:space="preserve"> State Supreme Courts, followed by partisan election, nonpartisan election, appointment, and merit-based system.  </w:t>
      </w:r>
      <w:r w:rsidR="00D6296A">
        <w:t xml:space="preserve">Interestingly, legislative election has the highest predicted percentage of female judges in comparison to all of the other processes, except for partisan election due to overlapped confidence intervals.  Also, all forms of election (partisan, nonpartisan, and legislative) are more likely to have </w:t>
      </w:r>
      <w:r w:rsidR="008632E6">
        <w:t xml:space="preserve">a </w:t>
      </w:r>
      <w:r w:rsidR="00D6296A">
        <w:t xml:space="preserve">higher predicted percent of female judges when compared to the merit-based system and the appointment process.  </w:t>
      </w:r>
      <w:r w:rsidR="008632E6">
        <w:t>While</w:t>
      </w:r>
      <w:r w:rsidR="00CE048A">
        <w:t xml:space="preserve"> these results demonstrate the impact of judicial selection processes in the United States, they may be skewed in favor of legislative elections due to their limited use across America, and as result, I used a similar model where I eliminated this selection process.</w:t>
      </w: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7C5C03" w:rsidRDefault="007C5C03" w:rsidP="0050161B">
      <w:pPr>
        <w:keepNext/>
        <w:spacing w:after="20" w:line="240" w:lineRule="auto"/>
      </w:pPr>
    </w:p>
    <w:p w:rsidR="00911224" w:rsidRPr="005F726C" w:rsidRDefault="00911224" w:rsidP="0050161B">
      <w:pPr>
        <w:pStyle w:val="Caption"/>
        <w:keepNext/>
        <w:spacing w:after="20"/>
        <w:jc w:val="center"/>
        <w:rPr>
          <w:color w:val="auto"/>
        </w:rPr>
      </w:pPr>
      <w:r w:rsidRPr="00205E6D">
        <w:rPr>
          <w:color w:val="auto"/>
        </w:rPr>
        <w:t>Figure</w:t>
      </w:r>
      <w:r w:rsidR="005A2E9C">
        <w:rPr>
          <w:color w:val="auto"/>
        </w:rPr>
        <w:t xml:space="preserve"> 7</w:t>
      </w:r>
      <w:r w:rsidRPr="00205E6D">
        <w:rPr>
          <w:color w:val="auto"/>
        </w:rPr>
        <w:t>:</w:t>
      </w:r>
      <w:r>
        <w:t xml:space="preserve">  </w:t>
      </w:r>
      <w:r w:rsidRPr="00205E6D">
        <w:rPr>
          <w:color w:val="auto"/>
        </w:rPr>
        <w:t>The Predicted Percent of Females on State Supreme Courts by Selection Mechanism (90% CIs)</w:t>
      </w:r>
    </w:p>
    <w:p w:rsidR="00911224" w:rsidRDefault="00911224" w:rsidP="0050161B">
      <w:pPr>
        <w:keepNext/>
        <w:spacing w:after="20" w:line="240" w:lineRule="auto"/>
        <w:jc w:val="center"/>
      </w:pPr>
      <w:r>
        <w:rPr>
          <w:noProof/>
          <w:lang w:eastAsia="ja-JP"/>
        </w:rPr>
        <w:drawing>
          <wp:inline distT="0" distB="0" distL="0" distR="0">
            <wp:extent cx="5044311" cy="37033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044311" cy="3703320"/>
                    </a:xfrm>
                    <a:prstGeom prst="rect">
                      <a:avLst/>
                    </a:prstGeom>
                    <a:noFill/>
                    <a:ln w="9525">
                      <a:noFill/>
                      <a:miter lim="800000"/>
                      <a:headEnd/>
                      <a:tailEnd/>
                    </a:ln>
                  </pic:spPr>
                </pic:pic>
              </a:graphicData>
            </a:graphic>
          </wp:inline>
        </w:drawing>
      </w:r>
    </w:p>
    <w:p w:rsidR="00765AE8" w:rsidRPr="000F7B9F" w:rsidRDefault="00765AE8" w:rsidP="0050161B">
      <w:pPr>
        <w:keepNext/>
        <w:spacing w:after="20" w:line="240" w:lineRule="auto"/>
        <w:jc w:val="center"/>
        <w:rPr>
          <w:i/>
          <w:sz w:val="18"/>
          <w:szCs w:val="18"/>
        </w:rPr>
      </w:pPr>
      <w:r w:rsidRPr="00765AE8">
        <w:rPr>
          <w:i/>
          <w:sz w:val="18"/>
          <w:szCs w:val="18"/>
        </w:rPr>
        <w:t>Note:</w:t>
      </w:r>
      <w:r w:rsidRPr="00765AE8">
        <w:rPr>
          <w:sz w:val="18"/>
          <w:szCs w:val="18"/>
        </w:rPr>
        <w:t xml:space="preserve">  </w:t>
      </w:r>
      <w:r w:rsidRPr="000F7B9F">
        <w:rPr>
          <w:i/>
          <w:sz w:val="18"/>
          <w:szCs w:val="18"/>
        </w:rPr>
        <w:t>This graph does not include information South Carolina and Virginia due to their use of legislative elections.</w:t>
      </w:r>
    </w:p>
    <w:p w:rsidR="00765AE8" w:rsidRPr="00765AE8" w:rsidRDefault="00765AE8" w:rsidP="0050161B">
      <w:pPr>
        <w:keepNext/>
        <w:spacing w:after="20" w:line="240" w:lineRule="auto"/>
        <w:jc w:val="center"/>
        <w:rPr>
          <w:sz w:val="6"/>
          <w:szCs w:val="18"/>
        </w:rPr>
      </w:pPr>
    </w:p>
    <w:p w:rsidR="00F45DD5" w:rsidRDefault="00205E6D" w:rsidP="0050161B">
      <w:pPr>
        <w:spacing w:after="20" w:line="240" w:lineRule="auto"/>
      </w:pPr>
      <w:r>
        <w:tab/>
        <w:t>From Fig</w:t>
      </w:r>
      <w:r w:rsidR="005A2E9C">
        <w:t>ure 7,</w:t>
      </w:r>
      <w:r>
        <w:t xml:space="preserve"> </w:t>
      </w:r>
      <w:r w:rsidR="005F726C">
        <w:t>partisan</w:t>
      </w:r>
      <w:r w:rsidR="00911224">
        <w:t xml:space="preserve"> election</w:t>
      </w:r>
      <w:r>
        <w:t xml:space="preserve"> provides the largest predicted percent of females on the State Supreme Courts, followed by nonpartisan election, appointment, and merit-based system.  However, </w:t>
      </w:r>
      <w:r w:rsidR="00F45DD5">
        <w:t xml:space="preserve">similarly to the previous model, </w:t>
      </w:r>
      <w:r>
        <w:t xml:space="preserve">only the relationship between partisan elections and nonpartisan elections are </w:t>
      </w:r>
      <w:r w:rsidR="00197A09">
        <w:t>significant</w:t>
      </w:r>
      <w:r>
        <w:t xml:space="preserve"> when compared to the merit-based system</w:t>
      </w:r>
      <w:r w:rsidR="00406CF6">
        <w:t xml:space="preserve"> </w:t>
      </w:r>
      <w:r w:rsidR="00870BC2">
        <w:t>and</w:t>
      </w:r>
      <w:r w:rsidR="00C35366">
        <w:t xml:space="preserve"> the</w:t>
      </w:r>
      <w:r w:rsidR="00870BC2">
        <w:t xml:space="preserve"> appointment </w:t>
      </w:r>
      <w:r w:rsidR="00C35366">
        <w:t xml:space="preserve">method </w:t>
      </w:r>
      <w:r w:rsidR="00406CF6">
        <w:t>since their confidence in</w:t>
      </w:r>
      <w:r w:rsidR="00870BC2">
        <w:t>tervals do not overlap with these</w:t>
      </w:r>
      <w:r w:rsidR="00406CF6">
        <w:t xml:space="preserve"> selection process</w:t>
      </w:r>
      <w:r w:rsidR="00870BC2">
        <w:t>es</w:t>
      </w:r>
      <w:r w:rsidR="005D29E5">
        <w:t xml:space="preserve">.  </w:t>
      </w:r>
      <w:r w:rsidR="00870BC2">
        <w:t>Thus, both forms of election p</w:t>
      </w:r>
      <w:r w:rsidR="00C35366">
        <w:t>rovide higher levels of women on</w:t>
      </w:r>
      <w:r w:rsidR="00870BC2">
        <w:t xml:space="preserve"> State Supreme Courts than the merit-based system and appointment</w:t>
      </w:r>
      <w:r w:rsidR="00C35366">
        <w:t xml:space="preserve"> process</w:t>
      </w:r>
      <w:r w:rsidR="00870BC2">
        <w:t>.</w:t>
      </w:r>
    </w:p>
    <w:p w:rsidR="00A6701B" w:rsidRDefault="00A6701B" w:rsidP="0050161B">
      <w:pPr>
        <w:spacing w:after="20" w:line="240" w:lineRule="auto"/>
        <w:ind w:firstLine="720"/>
      </w:pPr>
      <w:r>
        <w:t>Furt</w:t>
      </w:r>
      <w:r w:rsidR="00C35366">
        <w:t>hermore, when one compares the r</w:t>
      </w:r>
      <w:r>
        <w:t>-squared values between the two models in this study, it increases from 0.396 to 0.465 when legislative election is removed from the analysis.  Thus, while both models predict a large portion of the variance related to the presence of women on State Supreme Courts</w:t>
      </w:r>
      <w:r w:rsidR="00AD2468">
        <w:t>, the latter model, excluding legislative election, is a better predictor.</w:t>
      </w:r>
    </w:p>
    <w:p w:rsidR="008632E6" w:rsidRDefault="00EC3DDB" w:rsidP="0050161B">
      <w:pPr>
        <w:spacing w:after="20" w:line="240" w:lineRule="auto"/>
        <w:ind w:firstLine="720"/>
        <w:rPr>
          <w:color w:val="C00000"/>
        </w:rPr>
      </w:pPr>
      <w:r w:rsidRPr="00197A09">
        <w:t xml:space="preserve">In addition to judicial selection processes, other variables included in the model have a statistically significant impact on </w:t>
      </w:r>
      <w:r w:rsidR="0061356E" w:rsidRPr="00197A09">
        <w:t xml:space="preserve">the </w:t>
      </w:r>
      <w:r w:rsidRPr="00197A09">
        <w:t>predicted presence of women on State Supreme Courts.  In fact, both the gender equality score and being a southern state</w:t>
      </w:r>
      <w:r w:rsidR="0061356E" w:rsidRPr="00197A09">
        <w:t xml:space="preserve"> account for greater variance of</w:t>
      </w:r>
      <w:r w:rsidRPr="00197A09">
        <w:t xml:space="preserve"> the response variable.  To be</w:t>
      </w:r>
      <w:r w:rsidRPr="008632E6">
        <w:t xml:space="preserve"> exact, they both</w:t>
      </w:r>
      <w:r w:rsidR="005A2E9C" w:rsidRPr="008632E6">
        <w:t xml:space="preserve"> positively impact the percent of female </w:t>
      </w:r>
      <w:r w:rsidRPr="008632E6">
        <w:t xml:space="preserve">SSC </w:t>
      </w:r>
      <w:r w:rsidR="005A2E9C" w:rsidRPr="008632E6">
        <w:t>judges to a greater extent than the judicial selection processes.</w:t>
      </w:r>
      <w:r w:rsidRPr="008632E6">
        <w:t xml:space="preserve">  It is intuitive that a state with a higher gender equality score </w:t>
      </w:r>
      <w:r w:rsidR="00281FEB">
        <w:t>tends to have fewer</w:t>
      </w:r>
      <w:r w:rsidR="008632E6" w:rsidRPr="008632E6">
        <w:t xml:space="preserve"> tradition</w:t>
      </w:r>
      <w:r w:rsidR="00281FEB">
        <w:t>al</w:t>
      </w:r>
      <w:r w:rsidR="008632E6" w:rsidRPr="008632E6">
        <w:t xml:space="preserve"> gender norms which</w:t>
      </w:r>
      <w:r w:rsidR="00281FEB">
        <w:t xml:space="preserve"> then</w:t>
      </w:r>
      <w:r w:rsidR="008632E6" w:rsidRPr="008632E6">
        <w:t xml:space="preserve"> would increase the amount of female professionals, such as the judiciary.  </w:t>
      </w:r>
    </w:p>
    <w:p w:rsidR="00870BC2" w:rsidRPr="008632E6" w:rsidRDefault="00870BC2" w:rsidP="0050161B">
      <w:pPr>
        <w:spacing w:after="20" w:line="240" w:lineRule="auto"/>
        <w:ind w:firstLine="720"/>
        <w:rPr>
          <w:color w:val="C00000"/>
        </w:rPr>
      </w:pPr>
      <w:r w:rsidRPr="00197A09">
        <w:t>In comparison, b</w:t>
      </w:r>
      <w:r w:rsidR="00EC3DDB" w:rsidRPr="00197A09">
        <w:t>eing a southern state seemed counter-intuitive at first due to ‘Southern Womanhood’ and more traditionalistic gender roles prominent in the south.  However, at the same time, southern states have a tradition of</w:t>
      </w:r>
      <w:r w:rsidR="00281FEB">
        <w:t xml:space="preserve"> a</w:t>
      </w:r>
      <w:r w:rsidR="00EC3DDB" w:rsidRPr="00197A09">
        <w:t xml:space="preserve"> high percentage of female SSC judges.</w:t>
      </w:r>
      <w:r w:rsidRPr="00197A09">
        <w:t xml:space="preserve">  Furthermore, as noted in Figure 6, legislative election had the highest predicted percent of female </w:t>
      </w:r>
      <w:r w:rsidRPr="00197A09">
        <w:lastRenderedPageBreak/>
        <w:t>judges when compared to the other processes [with the exception of partisan election]</w:t>
      </w:r>
      <w:r w:rsidR="00D2146E" w:rsidRPr="00197A09">
        <w:t>; the only states that use this process are South Carolina and Virginia</w:t>
      </w:r>
      <w:r w:rsidR="00197A09">
        <w:t xml:space="preserve"> which</w:t>
      </w:r>
      <w:r w:rsidR="00D2146E" w:rsidRPr="00197A09">
        <w:t xml:space="preserve"> are also southern states.  Thus, this regional relationship could also account for part of the higher levels of female SSC judges in South Carolina and Virginia.</w:t>
      </w:r>
    </w:p>
    <w:p w:rsidR="007F7338" w:rsidRPr="00197A09" w:rsidRDefault="00D2146E" w:rsidP="0050161B">
      <w:pPr>
        <w:spacing w:after="20" w:line="240" w:lineRule="auto"/>
        <w:ind w:firstLine="720"/>
      </w:pPr>
      <w:r w:rsidRPr="00197A09">
        <w:t>Moreover, o</w:t>
      </w:r>
      <w:r w:rsidR="007F7338" w:rsidRPr="00197A09">
        <w:t xml:space="preserve">ther significant variables of both models are </w:t>
      </w:r>
      <w:r w:rsidR="0060393A" w:rsidRPr="00197A09">
        <w:t xml:space="preserve">the </w:t>
      </w:r>
      <w:r w:rsidR="007F7338" w:rsidRPr="00197A09">
        <w:t xml:space="preserve">presence of </w:t>
      </w:r>
      <w:r w:rsidR="00281FEB">
        <w:t xml:space="preserve">a </w:t>
      </w:r>
      <w:r w:rsidR="007F7338" w:rsidRPr="00197A09">
        <w:t xml:space="preserve">female chief justice on the SSC, the number of contiguous states, the year O’Connor was appointed to the USSC, </w:t>
      </w:r>
      <w:r w:rsidR="00281FEB">
        <w:t xml:space="preserve">and </w:t>
      </w:r>
      <w:r w:rsidR="007F7338" w:rsidRPr="00197A09">
        <w:t>state citizen ideology.</w:t>
      </w:r>
      <w:r w:rsidR="0060393A" w:rsidRPr="00197A09">
        <w:t xml:space="preserve"> They all have a positive relationship on the predicted levels of women on State Supreme Courts.</w:t>
      </w:r>
    </w:p>
    <w:p w:rsidR="00205E6D" w:rsidRDefault="005A2E9C" w:rsidP="0050161B">
      <w:pPr>
        <w:spacing w:after="20" w:line="240" w:lineRule="auto"/>
        <w:ind w:firstLine="720"/>
      </w:pPr>
      <w:r>
        <w:t>In conclusion</w:t>
      </w:r>
      <w:r w:rsidR="00406CF6">
        <w:t>,</w:t>
      </w:r>
      <w:r>
        <w:t xml:space="preserve"> the</w:t>
      </w:r>
      <w:r w:rsidR="00205E6D">
        <w:t xml:space="preserve"> results </w:t>
      </w:r>
      <w:r>
        <w:t xml:space="preserve">of both my models </w:t>
      </w:r>
      <w:r w:rsidR="00205E6D">
        <w:t>proved my original expectations, where the merit-based system and appointment process result in a greater presence of women on State Supreme Courts, to be</w:t>
      </w:r>
      <w:r w:rsidR="005D29E5">
        <w:t xml:space="preserve"> incorrect.  </w:t>
      </w:r>
      <w:r w:rsidR="00D2146E">
        <w:t xml:space="preserve">Instead, the election processes result in a higher likelihood of </w:t>
      </w:r>
      <w:r w:rsidR="00281FEB">
        <w:t>more</w:t>
      </w:r>
      <w:r w:rsidR="00D2146E">
        <w:t xml:space="preserve"> women on State Supreme Courts.  </w:t>
      </w:r>
      <w:r w:rsidR="008632E6" w:rsidRPr="00BF22D3">
        <w:t xml:space="preserve">This finding is interesting due to its similarity to state legislators.  Specifically, </w:t>
      </w:r>
      <w:r w:rsidR="00BF22D3" w:rsidRPr="00BF22D3">
        <w:t>when running for office, women win at equal rates as men, pointing to the common phrase of, “when women run</w:t>
      </w:r>
      <w:r w:rsidR="00281FEB">
        <w:t>,</w:t>
      </w:r>
      <w:r w:rsidR="00BF22D3" w:rsidRPr="00BF22D3">
        <w:t xml:space="preserve"> </w:t>
      </w:r>
      <w:r w:rsidR="00281FEB">
        <w:t>women</w:t>
      </w:r>
      <w:r w:rsidR="00BF22D3" w:rsidRPr="00BF22D3">
        <w:t xml:space="preserve"> win.”</w:t>
      </w:r>
      <w:r w:rsidR="00BF22D3">
        <w:t xml:space="preserve">  Therefore, the overall election process may be more beneficial to women</w:t>
      </w:r>
      <w:r w:rsidR="009E53B3">
        <w:t>’s entrance into political bodies than other selection processes.</w:t>
      </w:r>
    </w:p>
    <w:p w:rsidR="00E73457" w:rsidRDefault="00B54500" w:rsidP="0050161B">
      <w:pPr>
        <w:spacing w:after="20" w:line="240" w:lineRule="auto"/>
        <w:jc w:val="center"/>
        <w:rPr>
          <w:szCs w:val="20"/>
        </w:rPr>
      </w:pPr>
      <w:r>
        <w:rPr>
          <w:b/>
          <w:szCs w:val="20"/>
        </w:rPr>
        <w:t>Conclusion</w:t>
      </w:r>
    </w:p>
    <w:p w:rsidR="00AD3F9C" w:rsidRPr="00CA11DD" w:rsidRDefault="00AD3F9C" w:rsidP="0050161B">
      <w:pPr>
        <w:spacing w:after="20" w:line="240" w:lineRule="auto"/>
        <w:ind w:firstLine="720"/>
      </w:pPr>
      <w:r w:rsidRPr="00CA11DD">
        <w:t>Overall, judicial selection processes have an impact on the presence of women on State Supreme Courts.</w:t>
      </w:r>
      <w:r w:rsidR="00CA11DD" w:rsidRPr="00CA11DD">
        <w:t xml:space="preserve">  From this</w:t>
      </w:r>
      <w:r w:rsidR="00216E6C" w:rsidRPr="00CA11DD">
        <w:t xml:space="preserve"> analysis, election processes promote a greater presence of women in the state judiciary in comparison to </w:t>
      </w:r>
      <w:r w:rsidR="00CA11DD" w:rsidRPr="00CA11DD">
        <w:t xml:space="preserve">appointments and </w:t>
      </w:r>
      <w:r w:rsidR="00216E6C" w:rsidRPr="00CA11DD">
        <w:t>the mer</w:t>
      </w:r>
      <w:r w:rsidR="00CA11DD" w:rsidRPr="00CA11DD">
        <w:t>it-based system</w:t>
      </w:r>
      <w:r w:rsidR="00216E6C" w:rsidRPr="00CA11DD">
        <w:t>. However, other indicators, like the gender equality score and being a southern state, have a greater impact on the presence of women on these courts.</w:t>
      </w:r>
      <w:r w:rsidR="00042852" w:rsidRPr="00CA11DD">
        <w:t xml:space="preserve">  Furthermore, I believe the proportion of women in the eligibility pool would also have a significant impact, but I was unable to include this variable in my analysis due to limitations </w:t>
      </w:r>
      <w:r w:rsidR="00CA11DD" w:rsidRPr="00CA11DD">
        <w:t>in data collection</w:t>
      </w:r>
      <w:r w:rsidR="00042852" w:rsidRPr="00CA11DD">
        <w:t>.</w:t>
      </w:r>
    </w:p>
    <w:p w:rsidR="000141C3" w:rsidRPr="00CA11DD" w:rsidRDefault="00042852" w:rsidP="0050161B">
      <w:pPr>
        <w:spacing w:after="20" w:line="240" w:lineRule="auto"/>
        <w:ind w:firstLine="720"/>
      </w:pPr>
      <w:r w:rsidRPr="00CA11DD">
        <w:t>To expand this analysis in the future, I will incorporate</w:t>
      </w:r>
      <w:r w:rsidR="000141C3" w:rsidRPr="00CA11DD">
        <w:t xml:space="preserve"> the presenc</w:t>
      </w:r>
      <w:r w:rsidR="00777CA8" w:rsidRPr="00CA11DD">
        <w:t>e of women on Federal Courts.  However, since Federal Courts tend to use appointment as the selection process, the study would vary from this analysis, but I would like to see if having a Democrat or Republican president would lead to more or less female appointments at the federal level.  In further research, it will be interesting to see if the recent 2012 election will have any impact on the presence of females on State Supreme Courts.  In the 2012 election, more women were elected to the U.S. Congress tha</w:t>
      </w:r>
      <w:r w:rsidR="00CA11DD" w:rsidRPr="00CA11DD">
        <w:t>n in 1992,</w:t>
      </w:r>
      <w:r w:rsidR="00777CA8" w:rsidRPr="00CA11DD">
        <w:t xml:space="preserve"> “Year of the Woman</w:t>
      </w:r>
      <w:r w:rsidR="00CA11DD" w:rsidRPr="00CA11DD">
        <w:t>,</w:t>
      </w:r>
      <w:r w:rsidR="00777CA8" w:rsidRPr="00CA11DD">
        <w:t xml:space="preserve">” </w:t>
      </w:r>
      <w:r w:rsidR="00CA11DD" w:rsidRPr="00CA11DD">
        <w:t>when</w:t>
      </w:r>
      <w:r w:rsidR="00843172" w:rsidRPr="00CA11DD">
        <w:t xml:space="preserve"> elected female legislators </w:t>
      </w:r>
      <w:r w:rsidR="00CA11DD" w:rsidRPr="00CA11DD">
        <w:t xml:space="preserve">spiked </w:t>
      </w:r>
      <w:r w:rsidR="00777CA8" w:rsidRPr="00CA11DD">
        <w:t xml:space="preserve">(Hook, 2012).  As noted in the analysis, there </w:t>
      </w:r>
      <w:r w:rsidR="00843172" w:rsidRPr="00CA11DD">
        <w:t>was a simultaneous shift in both female legislators and state justices in 1992 when women were selected for public office at a higher rate.  Perhaps, this shift in female justices will continue to occur with more equal representation of women in elected office as it did in 1992.</w:t>
      </w:r>
      <w:r w:rsidR="00CA11DD" w:rsidRPr="00CA11DD">
        <w:t xml:space="preserve">  To further improve this analysis</w:t>
      </w:r>
      <w:r w:rsidR="00281FEB">
        <w:t>, I would employ a regression discontinuity d</w:t>
      </w:r>
      <w:r w:rsidR="00727706" w:rsidRPr="00CA11DD">
        <w:t xml:space="preserve">esign which would allow me to </w:t>
      </w:r>
      <w:r w:rsidR="00843172" w:rsidRPr="00CA11DD">
        <w:t>have more nuanced results in relation to</w:t>
      </w:r>
      <w:r w:rsidR="00CA11DD" w:rsidRPr="00CA11DD">
        <w:t xml:space="preserve"> the</w:t>
      </w:r>
      <w:r w:rsidR="00727706" w:rsidRPr="00CA11DD">
        <w:t xml:space="preserve"> shift in slope before and after 1992.</w:t>
      </w:r>
    </w:p>
    <w:p w:rsidR="00EF2C6B" w:rsidRPr="00CA11DD" w:rsidRDefault="00CF606A" w:rsidP="0050161B">
      <w:pPr>
        <w:spacing w:after="20" w:line="240" w:lineRule="auto"/>
        <w:ind w:firstLine="720"/>
      </w:pPr>
      <w:r w:rsidRPr="00CA11DD">
        <w:t>Moreover</w:t>
      </w:r>
      <w:r w:rsidR="00EF2C6B" w:rsidRPr="00CA11DD">
        <w:t>, considering that laws are precedent-based, are difficult to change, and have their origins in m</w:t>
      </w:r>
      <w:r w:rsidRPr="00CA11DD">
        <w:t>ale-dominated legislatures,</w:t>
      </w:r>
      <w:r w:rsidR="00EF2C6B" w:rsidRPr="00CA11DD">
        <w:t xml:space="preserve"> it is important to determine the key variables that promote greater gender equality in the judi</w:t>
      </w:r>
      <w:r w:rsidR="00CA11DD">
        <w:t>ciary as a means of promoting enhanced female representation in law</w:t>
      </w:r>
      <w:r w:rsidR="00EF2C6B" w:rsidRPr="00CA11DD">
        <w:t>.  This study is a step forward in determining those factors</w:t>
      </w:r>
      <w:r w:rsidR="00CA11DD" w:rsidRPr="00CA11DD">
        <w:t xml:space="preserve"> in hopes of achieving greater gender equality</w:t>
      </w:r>
      <w:r w:rsidR="00EF2C6B" w:rsidRPr="00CA11DD">
        <w:t>.</w:t>
      </w:r>
      <w:r w:rsidR="00EF2C6B" w:rsidRPr="00CA11DD">
        <w:rPr>
          <w:b/>
        </w:rPr>
        <w:t xml:space="preserve">  </w:t>
      </w:r>
    </w:p>
    <w:p w:rsidR="00BF14E8" w:rsidRPr="00CA11DD" w:rsidRDefault="00CA11DD" w:rsidP="0050161B">
      <w:pPr>
        <w:spacing w:after="20" w:line="240" w:lineRule="auto"/>
        <w:rPr>
          <w:szCs w:val="20"/>
        </w:rPr>
      </w:pPr>
      <w:r>
        <w:rPr>
          <w:szCs w:val="20"/>
        </w:rPr>
        <w:br w:type="page"/>
      </w:r>
    </w:p>
    <w:p w:rsidR="00E73457" w:rsidRDefault="00E73457" w:rsidP="0050161B">
      <w:pPr>
        <w:spacing w:after="20" w:line="240" w:lineRule="auto"/>
        <w:jc w:val="center"/>
        <w:rPr>
          <w:b/>
        </w:rPr>
      </w:pPr>
      <w:r>
        <w:rPr>
          <w:b/>
        </w:rPr>
        <w:lastRenderedPageBreak/>
        <w:t>Appendix</w:t>
      </w:r>
    </w:p>
    <w:p w:rsidR="00E1312B" w:rsidRDefault="00E1312B" w:rsidP="0050161B">
      <w:pPr>
        <w:spacing w:after="20" w:line="240" w:lineRule="auto"/>
      </w:pPr>
      <w:r>
        <w:t>Table A1:  Regression Output- Predicting the Impact of Judicial Selections Processes on the Presence of Female State Supreme Court Justices</w:t>
      </w:r>
    </w:p>
    <w:tbl>
      <w:tblPr>
        <w:tblStyle w:val="TableGrid"/>
        <w:tblW w:w="0" w:type="auto"/>
        <w:jc w:val="center"/>
        <w:tblInd w:w="-4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9"/>
        <w:gridCol w:w="1509"/>
      </w:tblGrid>
      <w:tr w:rsidR="00E1312B" w:rsidTr="00762795">
        <w:trPr>
          <w:jc w:val="center"/>
        </w:trPr>
        <w:tc>
          <w:tcPr>
            <w:tcW w:w="6019" w:type="dxa"/>
            <w:tcBorders>
              <w:bottom w:val="single" w:sz="4" w:space="0" w:color="auto"/>
            </w:tcBorders>
          </w:tcPr>
          <w:p w:rsidR="00E1312B" w:rsidRPr="00320F73" w:rsidRDefault="00E1312B" w:rsidP="0050161B">
            <w:pPr>
              <w:spacing w:after="20"/>
              <w:jc w:val="center"/>
              <w:rPr>
                <w:i/>
                <w:sz w:val="20"/>
                <w:szCs w:val="20"/>
              </w:rPr>
            </w:pPr>
            <w:r>
              <w:rPr>
                <w:i/>
                <w:sz w:val="20"/>
                <w:szCs w:val="20"/>
              </w:rPr>
              <w:t>Judicial Selection Processes</w:t>
            </w:r>
          </w:p>
        </w:tc>
        <w:tc>
          <w:tcPr>
            <w:tcW w:w="1509" w:type="dxa"/>
            <w:tcBorders>
              <w:bottom w:val="single" w:sz="4" w:space="0" w:color="auto"/>
            </w:tcBorders>
          </w:tcPr>
          <w:p w:rsidR="00E1312B" w:rsidRPr="00951918" w:rsidRDefault="00E1312B" w:rsidP="0050161B">
            <w:pPr>
              <w:spacing w:after="20"/>
              <w:jc w:val="center"/>
              <w:rPr>
                <w:sz w:val="20"/>
                <w:szCs w:val="20"/>
              </w:rPr>
            </w:pPr>
          </w:p>
        </w:tc>
      </w:tr>
      <w:tr w:rsidR="00E1312B" w:rsidTr="00762795">
        <w:trPr>
          <w:jc w:val="center"/>
        </w:trPr>
        <w:tc>
          <w:tcPr>
            <w:tcW w:w="6019" w:type="dxa"/>
            <w:tcBorders>
              <w:top w:val="single" w:sz="4" w:space="0" w:color="auto"/>
            </w:tcBorders>
          </w:tcPr>
          <w:p w:rsidR="00E1312B" w:rsidRPr="00951918" w:rsidRDefault="00E1312B" w:rsidP="0050161B">
            <w:pPr>
              <w:spacing w:after="20"/>
              <w:jc w:val="center"/>
              <w:rPr>
                <w:sz w:val="20"/>
                <w:szCs w:val="20"/>
              </w:rPr>
            </w:pPr>
            <w:r w:rsidRPr="00951918">
              <w:rPr>
                <w:sz w:val="20"/>
                <w:szCs w:val="20"/>
              </w:rPr>
              <w:t>Nonpartisan Election</w:t>
            </w:r>
          </w:p>
        </w:tc>
        <w:tc>
          <w:tcPr>
            <w:tcW w:w="1509" w:type="dxa"/>
            <w:tcBorders>
              <w:top w:val="single" w:sz="4" w:space="0" w:color="auto"/>
            </w:tcBorders>
          </w:tcPr>
          <w:p w:rsidR="00E1312B" w:rsidRDefault="00EB7039" w:rsidP="0050161B">
            <w:pPr>
              <w:spacing w:after="20"/>
              <w:jc w:val="center"/>
              <w:rPr>
                <w:sz w:val="20"/>
                <w:szCs w:val="20"/>
              </w:rPr>
            </w:pPr>
            <w:r>
              <w:rPr>
                <w:sz w:val="20"/>
                <w:szCs w:val="20"/>
              </w:rPr>
              <w:t>-2.923</w:t>
            </w:r>
          </w:p>
          <w:p w:rsidR="00E1312B" w:rsidRPr="00320F73" w:rsidRDefault="00EB7039" w:rsidP="0050161B">
            <w:pPr>
              <w:spacing w:after="20"/>
              <w:jc w:val="center"/>
              <w:rPr>
                <w:i/>
                <w:sz w:val="20"/>
                <w:szCs w:val="20"/>
              </w:rPr>
            </w:pPr>
            <w:r>
              <w:rPr>
                <w:i/>
                <w:sz w:val="20"/>
                <w:szCs w:val="20"/>
              </w:rPr>
              <w:t>(3.129</w:t>
            </w:r>
            <w:r w:rsidR="00E1312B" w:rsidRPr="00320F73">
              <w:rPr>
                <w:i/>
                <w:sz w:val="20"/>
                <w:szCs w:val="20"/>
              </w:rPr>
              <w:t>)</w:t>
            </w:r>
          </w:p>
        </w:tc>
      </w:tr>
      <w:tr w:rsidR="00E1312B" w:rsidTr="00762795">
        <w:trPr>
          <w:jc w:val="center"/>
        </w:trPr>
        <w:tc>
          <w:tcPr>
            <w:tcW w:w="6019" w:type="dxa"/>
          </w:tcPr>
          <w:p w:rsidR="00E1312B" w:rsidRPr="00951918" w:rsidRDefault="00E1312B" w:rsidP="0050161B">
            <w:pPr>
              <w:spacing w:after="20"/>
              <w:jc w:val="center"/>
              <w:rPr>
                <w:sz w:val="20"/>
                <w:szCs w:val="20"/>
              </w:rPr>
            </w:pPr>
            <w:r w:rsidRPr="00951918">
              <w:rPr>
                <w:sz w:val="20"/>
                <w:szCs w:val="20"/>
              </w:rPr>
              <w:t>Merit-Based System</w:t>
            </w:r>
          </w:p>
        </w:tc>
        <w:tc>
          <w:tcPr>
            <w:tcW w:w="1509" w:type="dxa"/>
          </w:tcPr>
          <w:p w:rsidR="00E1312B" w:rsidRDefault="00EB7039" w:rsidP="0050161B">
            <w:pPr>
              <w:spacing w:after="20"/>
              <w:jc w:val="center"/>
              <w:rPr>
                <w:sz w:val="20"/>
                <w:szCs w:val="20"/>
              </w:rPr>
            </w:pPr>
            <w:r>
              <w:rPr>
                <w:sz w:val="20"/>
                <w:szCs w:val="20"/>
              </w:rPr>
              <w:t>-10.512</w:t>
            </w:r>
            <w:r w:rsidR="00E1312B">
              <w:rPr>
                <w:sz w:val="20"/>
                <w:szCs w:val="20"/>
              </w:rPr>
              <w:t>***</w:t>
            </w:r>
          </w:p>
          <w:p w:rsidR="00E1312B" w:rsidRPr="00320F73" w:rsidRDefault="00E1312B" w:rsidP="0050161B">
            <w:pPr>
              <w:spacing w:after="20"/>
              <w:jc w:val="center"/>
              <w:rPr>
                <w:i/>
                <w:sz w:val="20"/>
                <w:szCs w:val="20"/>
              </w:rPr>
            </w:pPr>
            <w:r w:rsidRPr="00320F73">
              <w:rPr>
                <w:i/>
                <w:sz w:val="20"/>
                <w:szCs w:val="20"/>
              </w:rPr>
              <w:t>(</w:t>
            </w:r>
            <w:r w:rsidR="00EB7039">
              <w:rPr>
                <w:i/>
                <w:sz w:val="20"/>
                <w:szCs w:val="20"/>
              </w:rPr>
              <w:t>3.249</w:t>
            </w:r>
            <w:r w:rsidRPr="00320F73">
              <w:rPr>
                <w:i/>
                <w:sz w:val="20"/>
                <w:szCs w:val="20"/>
              </w:rPr>
              <w:t>)</w:t>
            </w:r>
          </w:p>
        </w:tc>
      </w:tr>
      <w:tr w:rsidR="00EB7039" w:rsidTr="00762795">
        <w:trPr>
          <w:jc w:val="center"/>
        </w:trPr>
        <w:tc>
          <w:tcPr>
            <w:tcW w:w="6019" w:type="dxa"/>
          </w:tcPr>
          <w:p w:rsidR="00EB7039" w:rsidRPr="00951918" w:rsidRDefault="00EB7039" w:rsidP="0050161B">
            <w:pPr>
              <w:spacing w:after="20"/>
              <w:jc w:val="center"/>
              <w:rPr>
                <w:sz w:val="20"/>
                <w:szCs w:val="20"/>
              </w:rPr>
            </w:pPr>
            <w:r>
              <w:rPr>
                <w:sz w:val="20"/>
                <w:szCs w:val="20"/>
              </w:rPr>
              <w:t>Legislative Election</w:t>
            </w:r>
          </w:p>
        </w:tc>
        <w:tc>
          <w:tcPr>
            <w:tcW w:w="1509" w:type="dxa"/>
          </w:tcPr>
          <w:p w:rsidR="00EB7039" w:rsidRDefault="00EB7039" w:rsidP="0050161B">
            <w:pPr>
              <w:spacing w:after="20"/>
              <w:jc w:val="center"/>
              <w:rPr>
                <w:sz w:val="20"/>
                <w:szCs w:val="20"/>
              </w:rPr>
            </w:pPr>
            <w:r>
              <w:rPr>
                <w:sz w:val="20"/>
                <w:szCs w:val="20"/>
              </w:rPr>
              <w:t>10.511*</w:t>
            </w:r>
          </w:p>
          <w:p w:rsidR="00EB7039" w:rsidRDefault="00EB7039" w:rsidP="0050161B">
            <w:pPr>
              <w:spacing w:after="20"/>
              <w:jc w:val="center"/>
              <w:rPr>
                <w:sz w:val="20"/>
                <w:szCs w:val="20"/>
              </w:rPr>
            </w:pPr>
            <w:r>
              <w:rPr>
                <w:sz w:val="20"/>
                <w:szCs w:val="20"/>
              </w:rPr>
              <w:t>5.805</w:t>
            </w:r>
          </w:p>
        </w:tc>
      </w:tr>
      <w:tr w:rsidR="00E1312B" w:rsidTr="00762795">
        <w:trPr>
          <w:jc w:val="center"/>
        </w:trPr>
        <w:tc>
          <w:tcPr>
            <w:tcW w:w="6019" w:type="dxa"/>
          </w:tcPr>
          <w:p w:rsidR="00E1312B" w:rsidRPr="00951918" w:rsidRDefault="00E1312B" w:rsidP="0050161B">
            <w:pPr>
              <w:spacing w:after="20"/>
              <w:jc w:val="center"/>
              <w:rPr>
                <w:sz w:val="20"/>
                <w:szCs w:val="20"/>
              </w:rPr>
            </w:pPr>
            <w:r w:rsidRPr="00951918">
              <w:rPr>
                <w:sz w:val="20"/>
                <w:szCs w:val="20"/>
              </w:rPr>
              <w:t>Appointment</w:t>
            </w:r>
          </w:p>
        </w:tc>
        <w:tc>
          <w:tcPr>
            <w:tcW w:w="1509" w:type="dxa"/>
          </w:tcPr>
          <w:p w:rsidR="00E1312B" w:rsidRDefault="00EB7039" w:rsidP="0050161B">
            <w:pPr>
              <w:spacing w:after="20"/>
              <w:jc w:val="center"/>
              <w:rPr>
                <w:sz w:val="20"/>
                <w:szCs w:val="20"/>
              </w:rPr>
            </w:pPr>
            <w:r>
              <w:rPr>
                <w:sz w:val="20"/>
                <w:szCs w:val="20"/>
              </w:rPr>
              <w:t>-9.903</w:t>
            </w:r>
            <w:r w:rsidR="00E1312B">
              <w:rPr>
                <w:sz w:val="20"/>
                <w:szCs w:val="20"/>
              </w:rPr>
              <w:t>*</w:t>
            </w:r>
            <w:r w:rsidR="00AB3CB9">
              <w:rPr>
                <w:sz w:val="20"/>
                <w:szCs w:val="20"/>
              </w:rPr>
              <w:t>*</w:t>
            </w:r>
          </w:p>
          <w:p w:rsidR="00E1312B" w:rsidRPr="00320F73" w:rsidRDefault="00EB7039" w:rsidP="0050161B">
            <w:pPr>
              <w:spacing w:after="20"/>
              <w:jc w:val="center"/>
              <w:rPr>
                <w:i/>
                <w:sz w:val="20"/>
                <w:szCs w:val="20"/>
              </w:rPr>
            </w:pPr>
            <w:r>
              <w:rPr>
                <w:i/>
                <w:sz w:val="20"/>
                <w:szCs w:val="20"/>
              </w:rPr>
              <w:t>(3.458</w:t>
            </w:r>
            <w:r w:rsidR="00E1312B" w:rsidRPr="00320F73">
              <w:rPr>
                <w:i/>
                <w:sz w:val="20"/>
                <w:szCs w:val="20"/>
              </w:rPr>
              <w:t>)</w:t>
            </w:r>
          </w:p>
        </w:tc>
      </w:tr>
      <w:tr w:rsidR="00E1312B" w:rsidTr="00762795">
        <w:trPr>
          <w:jc w:val="center"/>
        </w:trPr>
        <w:tc>
          <w:tcPr>
            <w:tcW w:w="6019" w:type="dxa"/>
            <w:tcBorders>
              <w:top w:val="single" w:sz="4" w:space="0" w:color="auto"/>
            </w:tcBorders>
          </w:tcPr>
          <w:p w:rsidR="00E1312B" w:rsidRPr="00951918" w:rsidRDefault="00E1312B" w:rsidP="0050161B">
            <w:pPr>
              <w:spacing w:after="20"/>
              <w:jc w:val="center"/>
              <w:rPr>
                <w:sz w:val="20"/>
                <w:szCs w:val="20"/>
              </w:rPr>
            </w:pPr>
          </w:p>
        </w:tc>
        <w:tc>
          <w:tcPr>
            <w:tcW w:w="1509" w:type="dxa"/>
            <w:tcBorders>
              <w:top w:val="single" w:sz="4" w:space="0" w:color="auto"/>
            </w:tcBorders>
          </w:tcPr>
          <w:p w:rsidR="00E1312B" w:rsidRPr="00951918" w:rsidRDefault="00E1312B" w:rsidP="0050161B">
            <w:pPr>
              <w:spacing w:after="20"/>
              <w:jc w:val="center"/>
              <w:rPr>
                <w:sz w:val="20"/>
                <w:szCs w:val="20"/>
              </w:rPr>
            </w:pPr>
          </w:p>
        </w:tc>
      </w:tr>
      <w:tr w:rsidR="00E1312B" w:rsidTr="00762795">
        <w:trPr>
          <w:jc w:val="center"/>
        </w:trPr>
        <w:tc>
          <w:tcPr>
            <w:tcW w:w="6019" w:type="dxa"/>
            <w:tcBorders>
              <w:bottom w:val="single" w:sz="4" w:space="0" w:color="auto"/>
            </w:tcBorders>
          </w:tcPr>
          <w:p w:rsidR="00E1312B" w:rsidRPr="00F03D04" w:rsidRDefault="00E1312B" w:rsidP="0050161B">
            <w:pPr>
              <w:spacing w:after="20"/>
              <w:jc w:val="center"/>
              <w:rPr>
                <w:i/>
                <w:sz w:val="20"/>
                <w:szCs w:val="20"/>
              </w:rPr>
            </w:pPr>
            <w:r>
              <w:rPr>
                <w:i/>
                <w:sz w:val="20"/>
                <w:szCs w:val="20"/>
              </w:rPr>
              <w:t>Control Variables</w:t>
            </w:r>
          </w:p>
        </w:tc>
        <w:tc>
          <w:tcPr>
            <w:tcW w:w="1509" w:type="dxa"/>
            <w:tcBorders>
              <w:bottom w:val="single" w:sz="4" w:space="0" w:color="auto"/>
            </w:tcBorders>
          </w:tcPr>
          <w:p w:rsidR="00E1312B" w:rsidRPr="00951918" w:rsidRDefault="00E1312B" w:rsidP="0050161B">
            <w:pPr>
              <w:spacing w:after="20"/>
              <w:jc w:val="center"/>
              <w:rPr>
                <w:sz w:val="20"/>
                <w:szCs w:val="20"/>
              </w:rPr>
            </w:pPr>
          </w:p>
        </w:tc>
      </w:tr>
      <w:tr w:rsidR="00E1312B" w:rsidTr="00762795">
        <w:trPr>
          <w:jc w:val="center"/>
        </w:trPr>
        <w:tc>
          <w:tcPr>
            <w:tcW w:w="6019" w:type="dxa"/>
            <w:tcBorders>
              <w:top w:val="single" w:sz="4" w:space="0" w:color="auto"/>
            </w:tcBorders>
          </w:tcPr>
          <w:p w:rsidR="00E1312B" w:rsidRPr="00951918" w:rsidRDefault="00E1312B" w:rsidP="0050161B">
            <w:pPr>
              <w:spacing w:after="20"/>
              <w:jc w:val="center"/>
              <w:rPr>
                <w:sz w:val="20"/>
                <w:szCs w:val="20"/>
              </w:rPr>
            </w:pPr>
            <w:r w:rsidRPr="00951918">
              <w:rPr>
                <w:sz w:val="20"/>
                <w:szCs w:val="20"/>
              </w:rPr>
              <w:t>Female Chief Justice Dummy</w:t>
            </w:r>
          </w:p>
        </w:tc>
        <w:tc>
          <w:tcPr>
            <w:tcW w:w="1509" w:type="dxa"/>
            <w:tcBorders>
              <w:top w:val="single" w:sz="4" w:space="0" w:color="auto"/>
            </w:tcBorders>
          </w:tcPr>
          <w:p w:rsidR="00E1312B" w:rsidRDefault="00A61452" w:rsidP="0050161B">
            <w:pPr>
              <w:spacing w:after="20"/>
              <w:jc w:val="center"/>
              <w:rPr>
                <w:sz w:val="20"/>
                <w:szCs w:val="20"/>
              </w:rPr>
            </w:pPr>
            <w:r>
              <w:rPr>
                <w:sz w:val="20"/>
                <w:szCs w:val="20"/>
              </w:rPr>
              <w:t>5.317</w:t>
            </w:r>
            <w:r w:rsidR="00E1312B">
              <w:rPr>
                <w:sz w:val="20"/>
                <w:szCs w:val="20"/>
              </w:rPr>
              <w:t>***</w:t>
            </w:r>
          </w:p>
          <w:p w:rsidR="00E1312B" w:rsidRPr="00320F73" w:rsidRDefault="00A61452" w:rsidP="0050161B">
            <w:pPr>
              <w:spacing w:after="20"/>
              <w:jc w:val="center"/>
              <w:rPr>
                <w:i/>
                <w:sz w:val="20"/>
                <w:szCs w:val="20"/>
              </w:rPr>
            </w:pPr>
            <w:r>
              <w:rPr>
                <w:i/>
                <w:sz w:val="20"/>
                <w:szCs w:val="20"/>
              </w:rPr>
              <w:t>(0.791</w:t>
            </w:r>
            <w:r w:rsidR="00E1312B" w:rsidRPr="00320F73">
              <w:rPr>
                <w:i/>
                <w:sz w:val="20"/>
                <w:szCs w:val="20"/>
              </w:rPr>
              <w:t>)</w:t>
            </w:r>
          </w:p>
        </w:tc>
      </w:tr>
      <w:tr w:rsidR="00E1312B" w:rsidTr="00762795">
        <w:trPr>
          <w:jc w:val="center"/>
        </w:trPr>
        <w:tc>
          <w:tcPr>
            <w:tcW w:w="6019" w:type="dxa"/>
          </w:tcPr>
          <w:p w:rsidR="00E1312B" w:rsidRPr="00951918" w:rsidRDefault="00E1312B" w:rsidP="0050161B">
            <w:pPr>
              <w:spacing w:after="20"/>
              <w:ind w:left="-829" w:firstLine="720"/>
              <w:jc w:val="center"/>
              <w:rPr>
                <w:sz w:val="20"/>
                <w:szCs w:val="20"/>
              </w:rPr>
            </w:pPr>
            <w:r w:rsidRPr="00951918">
              <w:rPr>
                <w:sz w:val="20"/>
                <w:szCs w:val="20"/>
              </w:rPr>
              <w:t>Number of Contiguous States</w:t>
            </w:r>
          </w:p>
        </w:tc>
        <w:tc>
          <w:tcPr>
            <w:tcW w:w="1509" w:type="dxa"/>
          </w:tcPr>
          <w:p w:rsidR="00E1312B" w:rsidRDefault="00A61452" w:rsidP="0050161B">
            <w:pPr>
              <w:spacing w:after="20"/>
              <w:jc w:val="center"/>
              <w:rPr>
                <w:sz w:val="20"/>
                <w:szCs w:val="20"/>
              </w:rPr>
            </w:pPr>
            <w:r>
              <w:rPr>
                <w:sz w:val="20"/>
                <w:szCs w:val="20"/>
              </w:rPr>
              <w:t>1.948</w:t>
            </w:r>
            <w:r w:rsidR="00E1312B">
              <w:rPr>
                <w:sz w:val="20"/>
                <w:szCs w:val="20"/>
              </w:rPr>
              <w:t>***</w:t>
            </w:r>
          </w:p>
          <w:p w:rsidR="00E1312B" w:rsidRPr="00320F73" w:rsidRDefault="00A61452" w:rsidP="0050161B">
            <w:pPr>
              <w:spacing w:after="20"/>
              <w:jc w:val="center"/>
              <w:rPr>
                <w:i/>
                <w:sz w:val="20"/>
                <w:szCs w:val="20"/>
              </w:rPr>
            </w:pPr>
            <w:r>
              <w:rPr>
                <w:i/>
                <w:sz w:val="20"/>
                <w:szCs w:val="20"/>
              </w:rPr>
              <w:t>(0.252</w:t>
            </w:r>
            <w:r w:rsidR="00E1312B" w:rsidRPr="00320F73">
              <w:rPr>
                <w:i/>
                <w:sz w:val="20"/>
                <w:szCs w:val="20"/>
              </w:rPr>
              <w:t>)</w:t>
            </w:r>
          </w:p>
        </w:tc>
      </w:tr>
      <w:tr w:rsidR="00E1312B" w:rsidTr="00762795">
        <w:trPr>
          <w:jc w:val="center"/>
        </w:trPr>
        <w:tc>
          <w:tcPr>
            <w:tcW w:w="6019" w:type="dxa"/>
          </w:tcPr>
          <w:p w:rsidR="00E1312B" w:rsidRPr="00951918" w:rsidRDefault="00E1312B" w:rsidP="0050161B">
            <w:pPr>
              <w:spacing w:after="20"/>
              <w:jc w:val="center"/>
              <w:rPr>
                <w:sz w:val="20"/>
                <w:szCs w:val="20"/>
              </w:rPr>
            </w:pPr>
            <w:r w:rsidRPr="00951918">
              <w:rPr>
                <w:sz w:val="20"/>
                <w:szCs w:val="20"/>
              </w:rPr>
              <w:t>Sitting Female Governor Dummy</w:t>
            </w:r>
          </w:p>
        </w:tc>
        <w:tc>
          <w:tcPr>
            <w:tcW w:w="1509" w:type="dxa"/>
          </w:tcPr>
          <w:p w:rsidR="00E1312B" w:rsidRDefault="00A61452" w:rsidP="0050161B">
            <w:pPr>
              <w:spacing w:after="20"/>
              <w:jc w:val="center"/>
              <w:rPr>
                <w:sz w:val="20"/>
                <w:szCs w:val="20"/>
              </w:rPr>
            </w:pPr>
            <w:r>
              <w:rPr>
                <w:sz w:val="20"/>
                <w:szCs w:val="20"/>
              </w:rPr>
              <w:t>1.773*</w:t>
            </w:r>
          </w:p>
          <w:p w:rsidR="00E1312B" w:rsidRPr="00320F73" w:rsidRDefault="00A61452" w:rsidP="0050161B">
            <w:pPr>
              <w:spacing w:after="20"/>
              <w:jc w:val="center"/>
              <w:rPr>
                <w:i/>
                <w:sz w:val="20"/>
                <w:szCs w:val="20"/>
              </w:rPr>
            </w:pPr>
            <w:r>
              <w:rPr>
                <w:i/>
                <w:sz w:val="20"/>
                <w:szCs w:val="20"/>
              </w:rPr>
              <w:t>(1.027</w:t>
            </w:r>
            <w:r w:rsidR="00E1312B" w:rsidRPr="00320F73">
              <w:rPr>
                <w:i/>
                <w:sz w:val="20"/>
                <w:szCs w:val="20"/>
              </w:rPr>
              <w:t>)</w:t>
            </w:r>
          </w:p>
        </w:tc>
      </w:tr>
      <w:tr w:rsidR="00E1312B" w:rsidTr="00762795">
        <w:trPr>
          <w:jc w:val="center"/>
        </w:trPr>
        <w:tc>
          <w:tcPr>
            <w:tcW w:w="6019" w:type="dxa"/>
          </w:tcPr>
          <w:p w:rsidR="00E1312B" w:rsidRPr="00951918" w:rsidRDefault="00E1312B" w:rsidP="0050161B">
            <w:pPr>
              <w:spacing w:after="20"/>
              <w:jc w:val="center"/>
              <w:rPr>
                <w:sz w:val="20"/>
                <w:szCs w:val="20"/>
              </w:rPr>
            </w:pPr>
            <w:r w:rsidRPr="00951918">
              <w:rPr>
                <w:sz w:val="20"/>
                <w:szCs w:val="20"/>
              </w:rPr>
              <w:t>O’Connor Dummy</w:t>
            </w:r>
          </w:p>
        </w:tc>
        <w:tc>
          <w:tcPr>
            <w:tcW w:w="1509" w:type="dxa"/>
          </w:tcPr>
          <w:p w:rsidR="00A61452" w:rsidRDefault="00A61452" w:rsidP="0050161B">
            <w:pPr>
              <w:spacing w:after="20"/>
              <w:jc w:val="center"/>
              <w:rPr>
                <w:sz w:val="20"/>
                <w:szCs w:val="20"/>
              </w:rPr>
            </w:pPr>
            <w:r>
              <w:rPr>
                <w:sz w:val="20"/>
                <w:szCs w:val="20"/>
              </w:rPr>
              <w:t>-1.599*</w:t>
            </w:r>
          </w:p>
          <w:p w:rsidR="00E1312B" w:rsidRPr="00320F73" w:rsidRDefault="00A61452" w:rsidP="0050161B">
            <w:pPr>
              <w:spacing w:after="20"/>
              <w:jc w:val="center"/>
              <w:rPr>
                <w:i/>
                <w:sz w:val="20"/>
                <w:szCs w:val="20"/>
              </w:rPr>
            </w:pPr>
            <w:r>
              <w:rPr>
                <w:i/>
                <w:sz w:val="20"/>
                <w:szCs w:val="20"/>
              </w:rPr>
              <w:t>(0.884</w:t>
            </w:r>
            <w:r w:rsidR="00E1312B" w:rsidRPr="00320F73">
              <w:rPr>
                <w:i/>
                <w:sz w:val="20"/>
                <w:szCs w:val="20"/>
              </w:rPr>
              <w:t>)</w:t>
            </w:r>
          </w:p>
        </w:tc>
      </w:tr>
      <w:tr w:rsidR="00E1312B" w:rsidTr="00762795">
        <w:trPr>
          <w:jc w:val="center"/>
        </w:trPr>
        <w:tc>
          <w:tcPr>
            <w:tcW w:w="6019" w:type="dxa"/>
          </w:tcPr>
          <w:p w:rsidR="00E1312B" w:rsidRPr="00951918" w:rsidRDefault="00E1312B" w:rsidP="0050161B">
            <w:pPr>
              <w:spacing w:after="20"/>
              <w:jc w:val="center"/>
              <w:rPr>
                <w:sz w:val="20"/>
                <w:szCs w:val="20"/>
              </w:rPr>
            </w:pPr>
            <w:r w:rsidRPr="00951918">
              <w:rPr>
                <w:sz w:val="20"/>
                <w:szCs w:val="20"/>
              </w:rPr>
              <w:t>Gender Equality Score</w:t>
            </w:r>
          </w:p>
        </w:tc>
        <w:tc>
          <w:tcPr>
            <w:tcW w:w="1509" w:type="dxa"/>
          </w:tcPr>
          <w:p w:rsidR="00E1312B" w:rsidRDefault="00A61452" w:rsidP="0050161B">
            <w:pPr>
              <w:spacing w:after="20"/>
              <w:jc w:val="center"/>
              <w:rPr>
                <w:sz w:val="20"/>
                <w:szCs w:val="20"/>
              </w:rPr>
            </w:pPr>
            <w:r>
              <w:rPr>
                <w:sz w:val="20"/>
                <w:szCs w:val="20"/>
              </w:rPr>
              <w:t>12.186</w:t>
            </w:r>
            <w:r w:rsidR="00E1312B">
              <w:rPr>
                <w:sz w:val="20"/>
                <w:szCs w:val="20"/>
              </w:rPr>
              <w:t>***</w:t>
            </w:r>
          </w:p>
          <w:p w:rsidR="00E1312B" w:rsidRPr="00320F73" w:rsidRDefault="00A61452" w:rsidP="0050161B">
            <w:pPr>
              <w:spacing w:after="20"/>
              <w:jc w:val="center"/>
              <w:rPr>
                <w:i/>
                <w:sz w:val="20"/>
                <w:szCs w:val="20"/>
              </w:rPr>
            </w:pPr>
            <w:r>
              <w:rPr>
                <w:i/>
                <w:sz w:val="20"/>
                <w:szCs w:val="20"/>
              </w:rPr>
              <w:t>(0.628</w:t>
            </w:r>
            <w:r w:rsidR="00E1312B" w:rsidRPr="00320F73">
              <w:rPr>
                <w:i/>
                <w:sz w:val="20"/>
                <w:szCs w:val="20"/>
              </w:rPr>
              <w:t>)</w:t>
            </w:r>
          </w:p>
        </w:tc>
      </w:tr>
      <w:tr w:rsidR="00E1312B" w:rsidTr="00762795">
        <w:trPr>
          <w:jc w:val="center"/>
        </w:trPr>
        <w:tc>
          <w:tcPr>
            <w:tcW w:w="6019" w:type="dxa"/>
          </w:tcPr>
          <w:p w:rsidR="00E1312B" w:rsidRPr="00951918" w:rsidRDefault="00E1312B" w:rsidP="0050161B">
            <w:pPr>
              <w:spacing w:after="20"/>
              <w:jc w:val="center"/>
              <w:rPr>
                <w:sz w:val="20"/>
                <w:szCs w:val="20"/>
              </w:rPr>
            </w:pPr>
            <w:r w:rsidRPr="00951918">
              <w:rPr>
                <w:sz w:val="20"/>
                <w:szCs w:val="20"/>
              </w:rPr>
              <w:t xml:space="preserve">State Citizen Ideology </w:t>
            </w:r>
          </w:p>
        </w:tc>
        <w:tc>
          <w:tcPr>
            <w:tcW w:w="1509" w:type="dxa"/>
          </w:tcPr>
          <w:p w:rsidR="00E1312B" w:rsidRDefault="00A61452" w:rsidP="0050161B">
            <w:pPr>
              <w:spacing w:after="20"/>
              <w:jc w:val="center"/>
              <w:rPr>
                <w:sz w:val="20"/>
                <w:szCs w:val="20"/>
              </w:rPr>
            </w:pPr>
            <w:r>
              <w:rPr>
                <w:sz w:val="20"/>
                <w:szCs w:val="20"/>
              </w:rPr>
              <w:t>0.140</w:t>
            </w:r>
            <w:r w:rsidR="00E1312B">
              <w:rPr>
                <w:sz w:val="20"/>
                <w:szCs w:val="20"/>
              </w:rPr>
              <w:t>***</w:t>
            </w:r>
          </w:p>
          <w:p w:rsidR="00E1312B" w:rsidRPr="00951918" w:rsidRDefault="00A61452" w:rsidP="0050161B">
            <w:pPr>
              <w:spacing w:after="20"/>
              <w:jc w:val="center"/>
              <w:rPr>
                <w:sz w:val="20"/>
                <w:szCs w:val="20"/>
              </w:rPr>
            </w:pPr>
            <w:r>
              <w:rPr>
                <w:sz w:val="20"/>
                <w:szCs w:val="20"/>
              </w:rPr>
              <w:t>(0.032</w:t>
            </w:r>
            <w:r w:rsidR="00E1312B">
              <w:rPr>
                <w:sz w:val="20"/>
                <w:szCs w:val="20"/>
              </w:rPr>
              <w:t>)</w:t>
            </w:r>
          </w:p>
        </w:tc>
      </w:tr>
      <w:tr w:rsidR="00E1312B" w:rsidTr="00762795">
        <w:trPr>
          <w:jc w:val="center"/>
        </w:trPr>
        <w:tc>
          <w:tcPr>
            <w:tcW w:w="6019" w:type="dxa"/>
            <w:tcBorders>
              <w:bottom w:val="single" w:sz="4" w:space="0" w:color="auto"/>
            </w:tcBorders>
          </w:tcPr>
          <w:p w:rsidR="00E1312B" w:rsidRPr="00951918" w:rsidRDefault="00E1312B" w:rsidP="0050161B">
            <w:pPr>
              <w:spacing w:after="20"/>
              <w:jc w:val="center"/>
              <w:rPr>
                <w:sz w:val="20"/>
                <w:szCs w:val="20"/>
              </w:rPr>
            </w:pPr>
            <w:r>
              <w:rPr>
                <w:sz w:val="20"/>
                <w:szCs w:val="20"/>
              </w:rPr>
              <w:t>South Dummy</w:t>
            </w:r>
          </w:p>
        </w:tc>
        <w:tc>
          <w:tcPr>
            <w:tcW w:w="1509" w:type="dxa"/>
            <w:tcBorders>
              <w:bottom w:val="single" w:sz="4" w:space="0" w:color="auto"/>
            </w:tcBorders>
          </w:tcPr>
          <w:p w:rsidR="00E1312B" w:rsidRDefault="00A61452" w:rsidP="0050161B">
            <w:pPr>
              <w:spacing w:after="20"/>
              <w:jc w:val="center"/>
              <w:rPr>
                <w:sz w:val="20"/>
                <w:szCs w:val="20"/>
              </w:rPr>
            </w:pPr>
            <w:r>
              <w:rPr>
                <w:sz w:val="20"/>
                <w:szCs w:val="20"/>
              </w:rPr>
              <w:t>7.882</w:t>
            </w:r>
            <w:r w:rsidR="00E1312B">
              <w:rPr>
                <w:sz w:val="20"/>
                <w:szCs w:val="20"/>
              </w:rPr>
              <w:t>***</w:t>
            </w:r>
          </w:p>
          <w:p w:rsidR="00E1312B" w:rsidRPr="005D3157" w:rsidRDefault="00A61452" w:rsidP="0050161B">
            <w:pPr>
              <w:spacing w:after="20"/>
              <w:jc w:val="center"/>
              <w:rPr>
                <w:i/>
                <w:sz w:val="20"/>
                <w:szCs w:val="20"/>
              </w:rPr>
            </w:pPr>
            <w:r>
              <w:rPr>
                <w:i/>
                <w:sz w:val="20"/>
                <w:szCs w:val="20"/>
              </w:rPr>
              <w:t>(2.573</w:t>
            </w:r>
            <w:r w:rsidR="00E1312B">
              <w:rPr>
                <w:i/>
                <w:sz w:val="20"/>
                <w:szCs w:val="20"/>
              </w:rPr>
              <w:t>)</w:t>
            </w:r>
          </w:p>
        </w:tc>
      </w:tr>
      <w:tr w:rsidR="00E1312B" w:rsidTr="00762795">
        <w:trPr>
          <w:jc w:val="center"/>
        </w:trPr>
        <w:tc>
          <w:tcPr>
            <w:tcW w:w="6019" w:type="dxa"/>
            <w:tcBorders>
              <w:top w:val="single" w:sz="4" w:space="0" w:color="auto"/>
            </w:tcBorders>
          </w:tcPr>
          <w:p w:rsidR="00E1312B" w:rsidRPr="00951918" w:rsidRDefault="00E1312B" w:rsidP="0050161B">
            <w:pPr>
              <w:spacing w:after="20"/>
              <w:jc w:val="center"/>
              <w:rPr>
                <w:sz w:val="20"/>
                <w:szCs w:val="20"/>
              </w:rPr>
            </w:pPr>
            <w:r w:rsidRPr="00951918">
              <w:rPr>
                <w:sz w:val="20"/>
                <w:szCs w:val="20"/>
              </w:rPr>
              <w:t>Constant</w:t>
            </w:r>
          </w:p>
        </w:tc>
        <w:tc>
          <w:tcPr>
            <w:tcW w:w="1509" w:type="dxa"/>
            <w:tcBorders>
              <w:top w:val="single" w:sz="4" w:space="0" w:color="auto"/>
            </w:tcBorders>
          </w:tcPr>
          <w:p w:rsidR="00E1312B" w:rsidRDefault="00A61452" w:rsidP="0050161B">
            <w:pPr>
              <w:spacing w:after="20"/>
              <w:jc w:val="center"/>
              <w:rPr>
                <w:sz w:val="20"/>
                <w:szCs w:val="20"/>
              </w:rPr>
            </w:pPr>
            <w:r>
              <w:rPr>
                <w:sz w:val="20"/>
                <w:szCs w:val="20"/>
              </w:rPr>
              <w:t>9.271***</w:t>
            </w:r>
          </w:p>
          <w:p w:rsidR="00E1312B" w:rsidRPr="00320F73" w:rsidRDefault="00A61452" w:rsidP="0050161B">
            <w:pPr>
              <w:spacing w:after="20"/>
              <w:jc w:val="center"/>
              <w:rPr>
                <w:i/>
                <w:sz w:val="20"/>
                <w:szCs w:val="20"/>
              </w:rPr>
            </w:pPr>
            <w:r>
              <w:rPr>
                <w:i/>
                <w:sz w:val="20"/>
                <w:szCs w:val="20"/>
              </w:rPr>
              <w:t>(3.384</w:t>
            </w:r>
            <w:r w:rsidR="00E1312B" w:rsidRPr="00320F73">
              <w:rPr>
                <w:i/>
                <w:sz w:val="20"/>
                <w:szCs w:val="20"/>
              </w:rPr>
              <w:t>)</w:t>
            </w:r>
          </w:p>
        </w:tc>
      </w:tr>
      <w:tr w:rsidR="00E1312B" w:rsidTr="00762795">
        <w:trPr>
          <w:jc w:val="center"/>
        </w:trPr>
        <w:tc>
          <w:tcPr>
            <w:tcW w:w="6019" w:type="dxa"/>
          </w:tcPr>
          <w:p w:rsidR="00E1312B" w:rsidRPr="00951918" w:rsidRDefault="00E1312B" w:rsidP="0050161B">
            <w:pPr>
              <w:spacing w:after="20"/>
              <w:jc w:val="center"/>
              <w:rPr>
                <w:sz w:val="20"/>
                <w:szCs w:val="20"/>
              </w:rPr>
            </w:pPr>
            <w:r w:rsidRPr="00951918">
              <w:rPr>
                <w:sz w:val="20"/>
                <w:szCs w:val="20"/>
              </w:rPr>
              <w:t>N</w:t>
            </w:r>
          </w:p>
        </w:tc>
        <w:tc>
          <w:tcPr>
            <w:tcW w:w="1509" w:type="dxa"/>
          </w:tcPr>
          <w:p w:rsidR="00E1312B" w:rsidRPr="00951918" w:rsidRDefault="00E1312B" w:rsidP="0050161B">
            <w:pPr>
              <w:spacing w:after="20"/>
              <w:jc w:val="center"/>
              <w:rPr>
                <w:sz w:val="20"/>
                <w:szCs w:val="20"/>
              </w:rPr>
            </w:pPr>
            <w:r>
              <w:rPr>
                <w:sz w:val="20"/>
                <w:szCs w:val="20"/>
              </w:rPr>
              <w:t>1</w:t>
            </w:r>
            <w:r w:rsidR="00A61452">
              <w:rPr>
                <w:sz w:val="20"/>
                <w:szCs w:val="20"/>
              </w:rPr>
              <w:t>568</w:t>
            </w:r>
          </w:p>
        </w:tc>
      </w:tr>
      <w:tr w:rsidR="00E1312B" w:rsidTr="00762795">
        <w:trPr>
          <w:jc w:val="center"/>
        </w:trPr>
        <w:tc>
          <w:tcPr>
            <w:tcW w:w="6019" w:type="dxa"/>
            <w:tcBorders>
              <w:bottom w:val="single" w:sz="4" w:space="0" w:color="auto"/>
            </w:tcBorders>
          </w:tcPr>
          <w:p w:rsidR="00E1312B" w:rsidRPr="00951918" w:rsidRDefault="00E1312B" w:rsidP="0050161B">
            <w:pPr>
              <w:spacing w:after="20"/>
              <w:jc w:val="center"/>
              <w:rPr>
                <w:sz w:val="20"/>
                <w:szCs w:val="20"/>
              </w:rPr>
            </w:pPr>
            <w:r w:rsidRPr="00951918">
              <w:rPr>
                <w:sz w:val="20"/>
                <w:szCs w:val="20"/>
              </w:rPr>
              <w:t>R-Squared</w:t>
            </w:r>
            <w:r>
              <w:rPr>
                <w:sz w:val="20"/>
                <w:szCs w:val="20"/>
              </w:rPr>
              <w:t xml:space="preserve"> Overall</w:t>
            </w:r>
          </w:p>
        </w:tc>
        <w:tc>
          <w:tcPr>
            <w:tcW w:w="1509" w:type="dxa"/>
            <w:tcBorders>
              <w:bottom w:val="single" w:sz="4" w:space="0" w:color="auto"/>
            </w:tcBorders>
          </w:tcPr>
          <w:p w:rsidR="00E1312B" w:rsidRPr="00951918" w:rsidRDefault="00E1312B" w:rsidP="0050161B">
            <w:pPr>
              <w:spacing w:after="20"/>
              <w:jc w:val="center"/>
              <w:rPr>
                <w:sz w:val="20"/>
                <w:szCs w:val="20"/>
              </w:rPr>
            </w:pPr>
            <w:r>
              <w:rPr>
                <w:sz w:val="20"/>
                <w:szCs w:val="20"/>
              </w:rPr>
              <w:t>0.</w:t>
            </w:r>
            <w:r w:rsidR="00A61452">
              <w:rPr>
                <w:sz w:val="20"/>
                <w:szCs w:val="20"/>
              </w:rPr>
              <w:t>396</w:t>
            </w:r>
          </w:p>
        </w:tc>
      </w:tr>
    </w:tbl>
    <w:p w:rsidR="00E1312B" w:rsidRDefault="00E1312B" w:rsidP="0050161B">
      <w:pPr>
        <w:spacing w:after="20" w:line="240" w:lineRule="auto"/>
        <w:jc w:val="center"/>
        <w:rPr>
          <w:sz w:val="16"/>
          <w:szCs w:val="16"/>
        </w:rPr>
      </w:pPr>
      <w:r w:rsidRPr="001223BA">
        <w:rPr>
          <w:sz w:val="16"/>
          <w:szCs w:val="16"/>
        </w:rPr>
        <w:t>*p&lt;.10; **p&lt;.05; ***p&lt;.01</w:t>
      </w:r>
    </w:p>
    <w:p w:rsidR="000F7B9F" w:rsidRDefault="000F7B9F" w:rsidP="0050161B">
      <w:pPr>
        <w:spacing w:after="20" w:line="240" w:lineRule="auto"/>
        <w:jc w:val="center"/>
        <w:rPr>
          <w:sz w:val="16"/>
          <w:szCs w:val="16"/>
        </w:rPr>
      </w:pPr>
      <w:r>
        <w:rPr>
          <w:i/>
          <w:sz w:val="16"/>
          <w:szCs w:val="16"/>
        </w:rPr>
        <w:t xml:space="preserve">Note:  </w:t>
      </w:r>
      <w:r>
        <w:rPr>
          <w:sz w:val="16"/>
          <w:szCs w:val="16"/>
        </w:rPr>
        <w:t>Coefficients are reported.  Standard errors are included in parentheses below the coefficient.</w:t>
      </w:r>
    </w:p>
    <w:p w:rsidR="00A61452" w:rsidRDefault="00A61452" w:rsidP="0050161B">
      <w:pPr>
        <w:spacing w:after="20" w:line="240" w:lineRule="auto"/>
      </w:pPr>
    </w:p>
    <w:p w:rsidR="00A61452" w:rsidRDefault="00A61452" w:rsidP="0050161B">
      <w:pPr>
        <w:spacing w:after="20" w:line="240" w:lineRule="auto"/>
      </w:pPr>
    </w:p>
    <w:p w:rsidR="00A61452" w:rsidRDefault="00A61452" w:rsidP="0050161B">
      <w:pPr>
        <w:spacing w:after="20" w:line="240" w:lineRule="auto"/>
      </w:pPr>
    </w:p>
    <w:p w:rsidR="00A61452" w:rsidRDefault="00A61452" w:rsidP="0050161B">
      <w:pPr>
        <w:spacing w:after="20" w:line="240" w:lineRule="auto"/>
      </w:pPr>
    </w:p>
    <w:p w:rsidR="00A61452" w:rsidRDefault="00A61452" w:rsidP="0050161B">
      <w:pPr>
        <w:spacing w:after="20" w:line="240" w:lineRule="auto"/>
      </w:pPr>
    </w:p>
    <w:p w:rsidR="00A61452" w:rsidRDefault="00A61452" w:rsidP="0050161B">
      <w:pPr>
        <w:spacing w:after="20" w:line="240" w:lineRule="auto"/>
      </w:pPr>
    </w:p>
    <w:p w:rsidR="007C5C03" w:rsidRDefault="007C5C03" w:rsidP="0050161B">
      <w:pPr>
        <w:spacing w:after="20" w:line="240" w:lineRule="auto"/>
      </w:pPr>
    </w:p>
    <w:p w:rsidR="007C5C03" w:rsidRDefault="007C5C03" w:rsidP="0050161B">
      <w:pPr>
        <w:spacing w:after="20" w:line="240" w:lineRule="auto"/>
      </w:pPr>
    </w:p>
    <w:p w:rsidR="007C5C03" w:rsidRDefault="007C5C03" w:rsidP="0050161B">
      <w:pPr>
        <w:spacing w:after="20" w:line="240" w:lineRule="auto"/>
      </w:pPr>
    </w:p>
    <w:p w:rsidR="007C5C03" w:rsidRDefault="007C5C03" w:rsidP="0050161B">
      <w:pPr>
        <w:spacing w:after="20" w:line="240" w:lineRule="auto"/>
      </w:pPr>
    </w:p>
    <w:p w:rsidR="007C5C03" w:rsidRDefault="007C5C03" w:rsidP="0050161B">
      <w:pPr>
        <w:spacing w:after="20" w:line="240" w:lineRule="auto"/>
      </w:pPr>
    </w:p>
    <w:p w:rsidR="007C5C03" w:rsidRDefault="007C5C03" w:rsidP="0050161B">
      <w:pPr>
        <w:spacing w:after="20" w:line="240" w:lineRule="auto"/>
      </w:pPr>
    </w:p>
    <w:p w:rsidR="00CA11DD" w:rsidRDefault="00CA11DD" w:rsidP="0050161B">
      <w:pPr>
        <w:spacing w:after="20" w:line="240" w:lineRule="auto"/>
      </w:pPr>
    </w:p>
    <w:p w:rsidR="00A61452" w:rsidRDefault="00A61452" w:rsidP="0050161B">
      <w:pPr>
        <w:spacing w:after="20" w:line="240" w:lineRule="auto"/>
      </w:pPr>
    </w:p>
    <w:p w:rsidR="00EB7039" w:rsidRDefault="00EB7039" w:rsidP="0050161B">
      <w:pPr>
        <w:spacing w:after="20" w:line="240" w:lineRule="auto"/>
      </w:pPr>
      <w:r>
        <w:lastRenderedPageBreak/>
        <w:t xml:space="preserve">Table A2:  Regression Output- Predicting the Impact of Judicial Selections Processes on the Presence of Female State Supreme Court Justices </w:t>
      </w:r>
    </w:p>
    <w:tbl>
      <w:tblPr>
        <w:tblStyle w:val="TableGrid"/>
        <w:tblW w:w="0" w:type="auto"/>
        <w:jc w:val="center"/>
        <w:tblInd w:w="-4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9"/>
        <w:gridCol w:w="1509"/>
      </w:tblGrid>
      <w:tr w:rsidR="00EB7039" w:rsidTr="000F7B9F">
        <w:trPr>
          <w:jc w:val="center"/>
        </w:trPr>
        <w:tc>
          <w:tcPr>
            <w:tcW w:w="6019" w:type="dxa"/>
            <w:tcBorders>
              <w:bottom w:val="single" w:sz="4" w:space="0" w:color="auto"/>
            </w:tcBorders>
          </w:tcPr>
          <w:p w:rsidR="00EB7039" w:rsidRPr="00320F73" w:rsidRDefault="00EB7039" w:rsidP="0050161B">
            <w:pPr>
              <w:spacing w:after="20"/>
              <w:jc w:val="center"/>
              <w:rPr>
                <w:i/>
                <w:sz w:val="20"/>
                <w:szCs w:val="20"/>
              </w:rPr>
            </w:pPr>
            <w:r>
              <w:rPr>
                <w:i/>
                <w:sz w:val="20"/>
                <w:szCs w:val="20"/>
              </w:rPr>
              <w:t>Judicial Selection Processes</w:t>
            </w:r>
          </w:p>
        </w:tc>
        <w:tc>
          <w:tcPr>
            <w:tcW w:w="1509" w:type="dxa"/>
            <w:tcBorders>
              <w:bottom w:val="single" w:sz="4" w:space="0" w:color="auto"/>
            </w:tcBorders>
          </w:tcPr>
          <w:p w:rsidR="00EB7039" w:rsidRPr="00951918" w:rsidRDefault="00EB7039" w:rsidP="0050161B">
            <w:pPr>
              <w:spacing w:after="20"/>
              <w:jc w:val="center"/>
              <w:rPr>
                <w:sz w:val="20"/>
                <w:szCs w:val="20"/>
              </w:rPr>
            </w:pPr>
          </w:p>
        </w:tc>
      </w:tr>
      <w:tr w:rsidR="00EB7039" w:rsidTr="000F7B9F">
        <w:trPr>
          <w:jc w:val="center"/>
        </w:trPr>
        <w:tc>
          <w:tcPr>
            <w:tcW w:w="6019" w:type="dxa"/>
            <w:tcBorders>
              <w:top w:val="single" w:sz="4" w:space="0" w:color="auto"/>
            </w:tcBorders>
          </w:tcPr>
          <w:p w:rsidR="00EB7039" w:rsidRPr="00951918" w:rsidRDefault="00EB7039" w:rsidP="0050161B">
            <w:pPr>
              <w:spacing w:after="20"/>
              <w:jc w:val="center"/>
              <w:rPr>
                <w:sz w:val="20"/>
                <w:szCs w:val="20"/>
              </w:rPr>
            </w:pPr>
            <w:r w:rsidRPr="00951918">
              <w:rPr>
                <w:sz w:val="20"/>
                <w:szCs w:val="20"/>
              </w:rPr>
              <w:t>Nonpartisan Election</w:t>
            </w:r>
          </w:p>
        </w:tc>
        <w:tc>
          <w:tcPr>
            <w:tcW w:w="1509" w:type="dxa"/>
            <w:tcBorders>
              <w:top w:val="single" w:sz="4" w:space="0" w:color="auto"/>
            </w:tcBorders>
          </w:tcPr>
          <w:p w:rsidR="00EB7039" w:rsidRDefault="00A61452" w:rsidP="0050161B">
            <w:pPr>
              <w:spacing w:after="20"/>
              <w:jc w:val="center"/>
              <w:rPr>
                <w:sz w:val="20"/>
                <w:szCs w:val="20"/>
              </w:rPr>
            </w:pPr>
            <w:r>
              <w:rPr>
                <w:sz w:val="20"/>
                <w:szCs w:val="20"/>
              </w:rPr>
              <w:t>-2.994</w:t>
            </w:r>
            <w:r w:rsidR="00EB7039" w:rsidRPr="00951918">
              <w:rPr>
                <w:sz w:val="20"/>
                <w:szCs w:val="20"/>
              </w:rPr>
              <w:t xml:space="preserve"> </w:t>
            </w:r>
          </w:p>
          <w:p w:rsidR="00EB7039" w:rsidRPr="00320F73" w:rsidRDefault="00A61452" w:rsidP="0050161B">
            <w:pPr>
              <w:spacing w:after="20"/>
              <w:jc w:val="center"/>
              <w:rPr>
                <w:i/>
                <w:sz w:val="20"/>
                <w:szCs w:val="20"/>
              </w:rPr>
            </w:pPr>
            <w:r>
              <w:rPr>
                <w:i/>
                <w:sz w:val="20"/>
                <w:szCs w:val="20"/>
              </w:rPr>
              <w:t>(2.369</w:t>
            </w:r>
            <w:r w:rsidR="00EB7039" w:rsidRPr="00320F73">
              <w:rPr>
                <w:i/>
                <w:sz w:val="20"/>
                <w:szCs w:val="20"/>
              </w:rPr>
              <w:t>)</w:t>
            </w:r>
          </w:p>
        </w:tc>
      </w:tr>
      <w:tr w:rsidR="00EB7039" w:rsidTr="000F7B9F">
        <w:trPr>
          <w:jc w:val="center"/>
        </w:trPr>
        <w:tc>
          <w:tcPr>
            <w:tcW w:w="6019" w:type="dxa"/>
          </w:tcPr>
          <w:p w:rsidR="00EB7039" w:rsidRPr="00951918" w:rsidRDefault="00EB7039" w:rsidP="0050161B">
            <w:pPr>
              <w:spacing w:after="20"/>
              <w:jc w:val="center"/>
              <w:rPr>
                <w:sz w:val="20"/>
                <w:szCs w:val="20"/>
              </w:rPr>
            </w:pPr>
            <w:r w:rsidRPr="00951918">
              <w:rPr>
                <w:sz w:val="20"/>
                <w:szCs w:val="20"/>
              </w:rPr>
              <w:t>Merit-Based System</w:t>
            </w:r>
          </w:p>
        </w:tc>
        <w:tc>
          <w:tcPr>
            <w:tcW w:w="1509" w:type="dxa"/>
          </w:tcPr>
          <w:p w:rsidR="00EB7039" w:rsidRDefault="00A61452" w:rsidP="0050161B">
            <w:pPr>
              <w:spacing w:after="20"/>
              <w:jc w:val="center"/>
              <w:rPr>
                <w:sz w:val="20"/>
                <w:szCs w:val="20"/>
              </w:rPr>
            </w:pPr>
            <w:r>
              <w:rPr>
                <w:sz w:val="20"/>
                <w:szCs w:val="20"/>
              </w:rPr>
              <w:t>-9.559</w:t>
            </w:r>
            <w:r w:rsidR="00EB7039">
              <w:rPr>
                <w:sz w:val="20"/>
                <w:szCs w:val="20"/>
              </w:rPr>
              <w:t>***</w:t>
            </w:r>
          </w:p>
          <w:p w:rsidR="00EB7039" w:rsidRPr="00320F73" w:rsidRDefault="00EB7039" w:rsidP="0050161B">
            <w:pPr>
              <w:spacing w:after="20"/>
              <w:jc w:val="center"/>
              <w:rPr>
                <w:i/>
                <w:sz w:val="20"/>
                <w:szCs w:val="20"/>
              </w:rPr>
            </w:pPr>
            <w:r w:rsidRPr="00320F73">
              <w:rPr>
                <w:i/>
                <w:sz w:val="20"/>
                <w:szCs w:val="20"/>
              </w:rPr>
              <w:t>(</w:t>
            </w:r>
            <w:r w:rsidR="00A61452">
              <w:rPr>
                <w:i/>
                <w:sz w:val="20"/>
                <w:szCs w:val="20"/>
              </w:rPr>
              <w:t>2.463</w:t>
            </w:r>
            <w:r w:rsidRPr="00320F73">
              <w:rPr>
                <w:i/>
                <w:sz w:val="20"/>
                <w:szCs w:val="20"/>
              </w:rPr>
              <w:t>)</w:t>
            </w:r>
          </w:p>
        </w:tc>
      </w:tr>
      <w:tr w:rsidR="00EB7039" w:rsidTr="000F7B9F">
        <w:trPr>
          <w:jc w:val="center"/>
        </w:trPr>
        <w:tc>
          <w:tcPr>
            <w:tcW w:w="6019" w:type="dxa"/>
          </w:tcPr>
          <w:p w:rsidR="00EB7039" w:rsidRPr="00951918" w:rsidRDefault="00EB7039" w:rsidP="0050161B">
            <w:pPr>
              <w:spacing w:after="20"/>
              <w:jc w:val="center"/>
              <w:rPr>
                <w:sz w:val="20"/>
                <w:szCs w:val="20"/>
              </w:rPr>
            </w:pPr>
            <w:r w:rsidRPr="00951918">
              <w:rPr>
                <w:sz w:val="20"/>
                <w:szCs w:val="20"/>
              </w:rPr>
              <w:t>Appointment</w:t>
            </w:r>
          </w:p>
        </w:tc>
        <w:tc>
          <w:tcPr>
            <w:tcW w:w="1509" w:type="dxa"/>
          </w:tcPr>
          <w:p w:rsidR="00EB7039" w:rsidRDefault="00A61452" w:rsidP="0050161B">
            <w:pPr>
              <w:spacing w:after="20"/>
              <w:jc w:val="center"/>
              <w:rPr>
                <w:sz w:val="20"/>
                <w:szCs w:val="20"/>
              </w:rPr>
            </w:pPr>
            <w:r>
              <w:rPr>
                <w:sz w:val="20"/>
                <w:szCs w:val="20"/>
              </w:rPr>
              <w:t>-7.961</w:t>
            </w:r>
            <w:r w:rsidR="00EB7039">
              <w:rPr>
                <w:sz w:val="20"/>
                <w:szCs w:val="20"/>
              </w:rPr>
              <w:t>**</w:t>
            </w:r>
            <w:r w:rsidR="00765AE8">
              <w:rPr>
                <w:sz w:val="20"/>
                <w:szCs w:val="20"/>
              </w:rPr>
              <w:t>*</w:t>
            </w:r>
          </w:p>
          <w:p w:rsidR="00EB7039" w:rsidRPr="00320F73" w:rsidRDefault="00A61452" w:rsidP="0050161B">
            <w:pPr>
              <w:spacing w:after="20"/>
              <w:jc w:val="center"/>
              <w:rPr>
                <w:i/>
                <w:sz w:val="20"/>
                <w:szCs w:val="20"/>
              </w:rPr>
            </w:pPr>
            <w:r>
              <w:rPr>
                <w:i/>
                <w:sz w:val="20"/>
                <w:szCs w:val="20"/>
              </w:rPr>
              <w:t>(2.606</w:t>
            </w:r>
            <w:r w:rsidR="00EB7039" w:rsidRPr="00320F73">
              <w:rPr>
                <w:i/>
                <w:sz w:val="20"/>
                <w:szCs w:val="20"/>
              </w:rPr>
              <w:t>)</w:t>
            </w:r>
          </w:p>
        </w:tc>
      </w:tr>
      <w:tr w:rsidR="00EB7039" w:rsidTr="000F7B9F">
        <w:trPr>
          <w:jc w:val="center"/>
        </w:trPr>
        <w:tc>
          <w:tcPr>
            <w:tcW w:w="6019" w:type="dxa"/>
            <w:tcBorders>
              <w:top w:val="single" w:sz="4" w:space="0" w:color="auto"/>
            </w:tcBorders>
          </w:tcPr>
          <w:p w:rsidR="00EB7039" w:rsidRPr="00951918" w:rsidRDefault="00EB7039" w:rsidP="0050161B">
            <w:pPr>
              <w:spacing w:after="20"/>
              <w:jc w:val="center"/>
              <w:rPr>
                <w:sz w:val="20"/>
                <w:szCs w:val="20"/>
              </w:rPr>
            </w:pPr>
          </w:p>
        </w:tc>
        <w:tc>
          <w:tcPr>
            <w:tcW w:w="1509" w:type="dxa"/>
            <w:tcBorders>
              <w:top w:val="single" w:sz="4" w:space="0" w:color="auto"/>
            </w:tcBorders>
          </w:tcPr>
          <w:p w:rsidR="00EB7039" w:rsidRPr="00951918" w:rsidRDefault="00EB7039" w:rsidP="0050161B">
            <w:pPr>
              <w:spacing w:after="20"/>
              <w:jc w:val="center"/>
              <w:rPr>
                <w:sz w:val="20"/>
                <w:szCs w:val="20"/>
              </w:rPr>
            </w:pPr>
          </w:p>
        </w:tc>
      </w:tr>
      <w:tr w:rsidR="00EB7039" w:rsidTr="000F7B9F">
        <w:trPr>
          <w:jc w:val="center"/>
        </w:trPr>
        <w:tc>
          <w:tcPr>
            <w:tcW w:w="6019" w:type="dxa"/>
            <w:tcBorders>
              <w:bottom w:val="single" w:sz="4" w:space="0" w:color="auto"/>
            </w:tcBorders>
          </w:tcPr>
          <w:p w:rsidR="00EB7039" w:rsidRPr="00F03D04" w:rsidRDefault="00EB7039" w:rsidP="0050161B">
            <w:pPr>
              <w:spacing w:after="20"/>
              <w:jc w:val="center"/>
              <w:rPr>
                <w:i/>
                <w:sz w:val="20"/>
                <w:szCs w:val="20"/>
              </w:rPr>
            </w:pPr>
            <w:r>
              <w:rPr>
                <w:i/>
                <w:sz w:val="20"/>
                <w:szCs w:val="20"/>
              </w:rPr>
              <w:t>Control Variables</w:t>
            </w:r>
          </w:p>
        </w:tc>
        <w:tc>
          <w:tcPr>
            <w:tcW w:w="1509" w:type="dxa"/>
            <w:tcBorders>
              <w:bottom w:val="single" w:sz="4" w:space="0" w:color="auto"/>
            </w:tcBorders>
          </w:tcPr>
          <w:p w:rsidR="00EB7039" w:rsidRPr="00951918" w:rsidRDefault="00EB7039" w:rsidP="0050161B">
            <w:pPr>
              <w:spacing w:after="20"/>
              <w:jc w:val="center"/>
              <w:rPr>
                <w:sz w:val="20"/>
                <w:szCs w:val="20"/>
              </w:rPr>
            </w:pPr>
          </w:p>
        </w:tc>
      </w:tr>
      <w:tr w:rsidR="00EB7039" w:rsidTr="000F7B9F">
        <w:trPr>
          <w:jc w:val="center"/>
        </w:trPr>
        <w:tc>
          <w:tcPr>
            <w:tcW w:w="6019" w:type="dxa"/>
            <w:tcBorders>
              <w:top w:val="single" w:sz="4" w:space="0" w:color="auto"/>
            </w:tcBorders>
          </w:tcPr>
          <w:p w:rsidR="00EB7039" w:rsidRPr="00951918" w:rsidRDefault="00EB7039" w:rsidP="0050161B">
            <w:pPr>
              <w:spacing w:after="20"/>
              <w:jc w:val="center"/>
              <w:rPr>
                <w:sz w:val="20"/>
                <w:szCs w:val="20"/>
              </w:rPr>
            </w:pPr>
            <w:r w:rsidRPr="00951918">
              <w:rPr>
                <w:sz w:val="20"/>
                <w:szCs w:val="20"/>
              </w:rPr>
              <w:t>Female Chief Justice Dummy</w:t>
            </w:r>
          </w:p>
        </w:tc>
        <w:tc>
          <w:tcPr>
            <w:tcW w:w="1509" w:type="dxa"/>
            <w:tcBorders>
              <w:top w:val="single" w:sz="4" w:space="0" w:color="auto"/>
            </w:tcBorders>
          </w:tcPr>
          <w:p w:rsidR="00EB7039" w:rsidRDefault="00A61452" w:rsidP="0050161B">
            <w:pPr>
              <w:spacing w:after="20"/>
              <w:jc w:val="center"/>
              <w:rPr>
                <w:sz w:val="20"/>
                <w:szCs w:val="20"/>
              </w:rPr>
            </w:pPr>
            <w:r>
              <w:rPr>
                <w:sz w:val="20"/>
                <w:szCs w:val="20"/>
              </w:rPr>
              <w:t>7.278</w:t>
            </w:r>
            <w:r w:rsidR="00EB7039">
              <w:rPr>
                <w:sz w:val="20"/>
                <w:szCs w:val="20"/>
              </w:rPr>
              <w:t>***</w:t>
            </w:r>
          </w:p>
          <w:p w:rsidR="00EB7039" w:rsidRPr="00320F73" w:rsidRDefault="00A61452" w:rsidP="0050161B">
            <w:pPr>
              <w:spacing w:after="20"/>
              <w:jc w:val="center"/>
              <w:rPr>
                <w:i/>
                <w:sz w:val="20"/>
                <w:szCs w:val="20"/>
              </w:rPr>
            </w:pPr>
            <w:r>
              <w:rPr>
                <w:i/>
                <w:sz w:val="20"/>
                <w:szCs w:val="20"/>
              </w:rPr>
              <w:t>(0.760</w:t>
            </w:r>
            <w:r w:rsidR="00EB7039" w:rsidRPr="00320F73">
              <w:rPr>
                <w:i/>
                <w:sz w:val="20"/>
                <w:szCs w:val="20"/>
              </w:rPr>
              <w:t>)</w:t>
            </w:r>
          </w:p>
        </w:tc>
      </w:tr>
      <w:tr w:rsidR="00EB7039" w:rsidTr="000F7B9F">
        <w:trPr>
          <w:jc w:val="center"/>
        </w:trPr>
        <w:tc>
          <w:tcPr>
            <w:tcW w:w="6019" w:type="dxa"/>
          </w:tcPr>
          <w:p w:rsidR="00EB7039" w:rsidRPr="00951918" w:rsidRDefault="00EB7039" w:rsidP="0050161B">
            <w:pPr>
              <w:spacing w:after="20"/>
              <w:ind w:left="-829" w:firstLine="720"/>
              <w:jc w:val="center"/>
              <w:rPr>
                <w:sz w:val="20"/>
                <w:szCs w:val="20"/>
              </w:rPr>
            </w:pPr>
            <w:r w:rsidRPr="00951918">
              <w:rPr>
                <w:sz w:val="20"/>
                <w:szCs w:val="20"/>
              </w:rPr>
              <w:t>Number of Contiguous States</w:t>
            </w:r>
          </w:p>
        </w:tc>
        <w:tc>
          <w:tcPr>
            <w:tcW w:w="1509" w:type="dxa"/>
          </w:tcPr>
          <w:p w:rsidR="00EB7039" w:rsidRDefault="00A61452" w:rsidP="0050161B">
            <w:pPr>
              <w:spacing w:after="20"/>
              <w:jc w:val="center"/>
              <w:rPr>
                <w:sz w:val="20"/>
                <w:szCs w:val="20"/>
              </w:rPr>
            </w:pPr>
            <w:r>
              <w:rPr>
                <w:sz w:val="20"/>
                <w:szCs w:val="20"/>
              </w:rPr>
              <w:t>1.513</w:t>
            </w:r>
            <w:r w:rsidR="00EB7039">
              <w:rPr>
                <w:sz w:val="20"/>
                <w:szCs w:val="20"/>
              </w:rPr>
              <w:t>***</w:t>
            </w:r>
          </w:p>
          <w:p w:rsidR="00EB7039" w:rsidRPr="00320F73" w:rsidRDefault="00A61452" w:rsidP="0050161B">
            <w:pPr>
              <w:spacing w:after="20"/>
              <w:jc w:val="center"/>
              <w:rPr>
                <w:i/>
                <w:sz w:val="20"/>
                <w:szCs w:val="20"/>
              </w:rPr>
            </w:pPr>
            <w:r>
              <w:rPr>
                <w:i/>
                <w:sz w:val="20"/>
                <w:szCs w:val="20"/>
              </w:rPr>
              <w:t>(0.205</w:t>
            </w:r>
            <w:r w:rsidR="00EB7039" w:rsidRPr="00320F73">
              <w:rPr>
                <w:i/>
                <w:sz w:val="20"/>
                <w:szCs w:val="20"/>
              </w:rPr>
              <w:t>)</w:t>
            </w:r>
          </w:p>
        </w:tc>
      </w:tr>
      <w:tr w:rsidR="00EB7039" w:rsidTr="000F7B9F">
        <w:trPr>
          <w:jc w:val="center"/>
        </w:trPr>
        <w:tc>
          <w:tcPr>
            <w:tcW w:w="6019" w:type="dxa"/>
          </w:tcPr>
          <w:p w:rsidR="00EB7039" w:rsidRPr="00951918" w:rsidRDefault="00EB7039" w:rsidP="0050161B">
            <w:pPr>
              <w:spacing w:after="20"/>
              <w:jc w:val="center"/>
              <w:rPr>
                <w:sz w:val="20"/>
                <w:szCs w:val="20"/>
              </w:rPr>
            </w:pPr>
            <w:r w:rsidRPr="00951918">
              <w:rPr>
                <w:sz w:val="20"/>
                <w:szCs w:val="20"/>
              </w:rPr>
              <w:t>Sitting Female Governor Dummy</w:t>
            </w:r>
          </w:p>
        </w:tc>
        <w:tc>
          <w:tcPr>
            <w:tcW w:w="1509" w:type="dxa"/>
          </w:tcPr>
          <w:p w:rsidR="00EB7039" w:rsidRDefault="00A61452" w:rsidP="0050161B">
            <w:pPr>
              <w:spacing w:after="20"/>
              <w:jc w:val="center"/>
              <w:rPr>
                <w:sz w:val="20"/>
                <w:szCs w:val="20"/>
              </w:rPr>
            </w:pPr>
            <w:r>
              <w:rPr>
                <w:sz w:val="20"/>
                <w:szCs w:val="20"/>
              </w:rPr>
              <w:t>1.165</w:t>
            </w:r>
          </w:p>
          <w:p w:rsidR="00EB7039" w:rsidRPr="00320F73" w:rsidRDefault="00A61452" w:rsidP="0050161B">
            <w:pPr>
              <w:spacing w:after="20"/>
              <w:jc w:val="center"/>
              <w:rPr>
                <w:i/>
                <w:sz w:val="20"/>
                <w:szCs w:val="20"/>
              </w:rPr>
            </w:pPr>
            <w:r>
              <w:rPr>
                <w:i/>
                <w:sz w:val="20"/>
                <w:szCs w:val="20"/>
              </w:rPr>
              <w:t>(0.941</w:t>
            </w:r>
            <w:r w:rsidR="00EB7039" w:rsidRPr="00320F73">
              <w:rPr>
                <w:i/>
                <w:sz w:val="20"/>
                <w:szCs w:val="20"/>
              </w:rPr>
              <w:t>)</w:t>
            </w:r>
          </w:p>
        </w:tc>
      </w:tr>
      <w:tr w:rsidR="00EB7039" w:rsidTr="000F7B9F">
        <w:trPr>
          <w:jc w:val="center"/>
        </w:trPr>
        <w:tc>
          <w:tcPr>
            <w:tcW w:w="6019" w:type="dxa"/>
          </w:tcPr>
          <w:p w:rsidR="00EB7039" w:rsidRPr="00951918" w:rsidRDefault="00EB7039" w:rsidP="0050161B">
            <w:pPr>
              <w:spacing w:after="20"/>
              <w:jc w:val="center"/>
              <w:rPr>
                <w:sz w:val="20"/>
                <w:szCs w:val="20"/>
              </w:rPr>
            </w:pPr>
            <w:r w:rsidRPr="00951918">
              <w:rPr>
                <w:sz w:val="20"/>
                <w:szCs w:val="20"/>
              </w:rPr>
              <w:t>O’Connor Dummy</w:t>
            </w:r>
          </w:p>
        </w:tc>
        <w:tc>
          <w:tcPr>
            <w:tcW w:w="1509" w:type="dxa"/>
          </w:tcPr>
          <w:p w:rsidR="00EB7039" w:rsidRDefault="00A61452" w:rsidP="0050161B">
            <w:pPr>
              <w:spacing w:after="20"/>
              <w:jc w:val="center"/>
              <w:rPr>
                <w:sz w:val="20"/>
                <w:szCs w:val="20"/>
              </w:rPr>
            </w:pPr>
            <w:r>
              <w:rPr>
                <w:sz w:val="20"/>
                <w:szCs w:val="20"/>
              </w:rPr>
              <w:t>-1.117</w:t>
            </w:r>
          </w:p>
          <w:p w:rsidR="00EB7039" w:rsidRPr="00320F73" w:rsidRDefault="00A61452" w:rsidP="0050161B">
            <w:pPr>
              <w:spacing w:after="20"/>
              <w:jc w:val="center"/>
              <w:rPr>
                <w:i/>
                <w:sz w:val="20"/>
                <w:szCs w:val="20"/>
              </w:rPr>
            </w:pPr>
            <w:r>
              <w:rPr>
                <w:i/>
                <w:sz w:val="20"/>
                <w:szCs w:val="20"/>
              </w:rPr>
              <w:t>(0.740</w:t>
            </w:r>
            <w:r w:rsidR="00EB7039" w:rsidRPr="00320F73">
              <w:rPr>
                <w:i/>
                <w:sz w:val="20"/>
                <w:szCs w:val="20"/>
              </w:rPr>
              <w:t>)</w:t>
            </w:r>
          </w:p>
        </w:tc>
      </w:tr>
      <w:tr w:rsidR="00EB7039" w:rsidTr="000F7B9F">
        <w:trPr>
          <w:jc w:val="center"/>
        </w:trPr>
        <w:tc>
          <w:tcPr>
            <w:tcW w:w="6019" w:type="dxa"/>
          </w:tcPr>
          <w:p w:rsidR="00EB7039" w:rsidRPr="00951918" w:rsidRDefault="00EB7039" w:rsidP="0050161B">
            <w:pPr>
              <w:spacing w:after="20"/>
              <w:jc w:val="center"/>
              <w:rPr>
                <w:sz w:val="20"/>
                <w:szCs w:val="20"/>
              </w:rPr>
            </w:pPr>
            <w:r w:rsidRPr="00951918">
              <w:rPr>
                <w:sz w:val="20"/>
                <w:szCs w:val="20"/>
              </w:rPr>
              <w:t>Gender Equality Score</w:t>
            </w:r>
          </w:p>
        </w:tc>
        <w:tc>
          <w:tcPr>
            <w:tcW w:w="1509" w:type="dxa"/>
          </w:tcPr>
          <w:p w:rsidR="00EB7039" w:rsidRDefault="00A61452" w:rsidP="0050161B">
            <w:pPr>
              <w:spacing w:after="20"/>
              <w:jc w:val="center"/>
              <w:rPr>
                <w:sz w:val="20"/>
                <w:szCs w:val="20"/>
              </w:rPr>
            </w:pPr>
            <w:r>
              <w:rPr>
                <w:sz w:val="20"/>
                <w:szCs w:val="20"/>
              </w:rPr>
              <w:t>10.383</w:t>
            </w:r>
            <w:r w:rsidR="00EB7039">
              <w:rPr>
                <w:sz w:val="20"/>
                <w:szCs w:val="20"/>
              </w:rPr>
              <w:t>***</w:t>
            </w:r>
          </w:p>
          <w:p w:rsidR="00EB7039" w:rsidRPr="00320F73" w:rsidRDefault="00A61452" w:rsidP="0050161B">
            <w:pPr>
              <w:spacing w:after="20"/>
              <w:jc w:val="center"/>
              <w:rPr>
                <w:i/>
                <w:sz w:val="20"/>
                <w:szCs w:val="20"/>
              </w:rPr>
            </w:pPr>
            <w:r>
              <w:rPr>
                <w:i/>
                <w:sz w:val="20"/>
                <w:szCs w:val="20"/>
              </w:rPr>
              <w:t>(0.466</w:t>
            </w:r>
            <w:r w:rsidR="00EB7039" w:rsidRPr="00320F73">
              <w:rPr>
                <w:i/>
                <w:sz w:val="20"/>
                <w:szCs w:val="20"/>
              </w:rPr>
              <w:t>)</w:t>
            </w:r>
          </w:p>
        </w:tc>
      </w:tr>
      <w:tr w:rsidR="00EB7039" w:rsidTr="000F7B9F">
        <w:trPr>
          <w:jc w:val="center"/>
        </w:trPr>
        <w:tc>
          <w:tcPr>
            <w:tcW w:w="6019" w:type="dxa"/>
          </w:tcPr>
          <w:p w:rsidR="00EB7039" w:rsidRPr="00951918" w:rsidRDefault="00EB7039" w:rsidP="0050161B">
            <w:pPr>
              <w:spacing w:after="20"/>
              <w:jc w:val="center"/>
              <w:rPr>
                <w:sz w:val="20"/>
                <w:szCs w:val="20"/>
              </w:rPr>
            </w:pPr>
            <w:r w:rsidRPr="00951918">
              <w:rPr>
                <w:sz w:val="20"/>
                <w:szCs w:val="20"/>
              </w:rPr>
              <w:t xml:space="preserve">State Citizen Ideology </w:t>
            </w:r>
          </w:p>
        </w:tc>
        <w:tc>
          <w:tcPr>
            <w:tcW w:w="1509" w:type="dxa"/>
          </w:tcPr>
          <w:p w:rsidR="00EB7039" w:rsidRDefault="00A61452" w:rsidP="0050161B">
            <w:pPr>
              <w:spacing w:after="20"/>
              <w:jc w:val="center"/>
              <w:rPr>
                <w:sz w:val="20"/>
                <w:szCs w:val="20"/>
              </w:rPr>
            </w:pPr>
            <w:r>
              <w:rPr>
                <w:sz w:val="20"/>
                <w:szCs w:val="20"/>
              </w:rPr>
              <w:t>0.065</w:t>
            </w:r>
            <w:r w:rsidR="00765AE8">
              <w:rPr>
                <w:sz w:val="20"/>
                <w:szCs w:val="20"/>
              </w:rPr>
              <w:t>**</w:t>
            </w:r>
          </w:p>
          <w:p w:rsidR="00EB7039" w:rsidRPr="00951918" w:rsidRDefault="00A61452" w:rsidP="0050161B">
            <w:pPr>
              <w:spacing w:after="20"/>
              <w:jc w:val="center"/>
              <w:rPr>
                <w:sz w:val="20"/>
                <w:szCs w:val="20"/>
              </w:rPr>
            </w:pPr>
            <w:r>
              <w:rPr>
                <w:sz w:val="20"/>
                <w:szCs w:val="20"/>
              </w:rPr>
              <w:t>(0.026</w:t>
            </w:r>
            <w:r w:rsidR="00EB7039">
              <w:rPr>
                <w:sz w:val="20"/>
                <w:szCs w:val="20"/>
              </w:rPr>
              <w:t>)</w:t>
            </w:r>
          </w:p>
        </w:tc>
      </w:tr>
      <w:tr w:rsidR="00EB7039" w:rsidTr="000F7B9F">
        <w:trPr>
          <w:jc w:val="center"/>
        </w:trPr>
        <w:tc>
          <w:tcPr>
            <w:tcW w:w="6019" w:type="dxa"/>
            <w:tcBorders>
              <w:bottom w:val="single" w:sz="4" w:space="0" w:color="auto"/>
            </w:tcBorders>
          </w:tcPr>
          <w:p w:rsidR="00EB7039" w:rsidRPr="00951918" w:rsidRDefault="00EB7039" w:rsidP="0050161B">
            <w:pPr>
              <w:spacing w:after="20"/>
              <w:jc w:val="center"/>
              <w:rPr>
                <w:sz w:val="20"/>
                <w:szCs w:val="20"/>
              </w:rPr>
            </w:pPr>
            <w:r>
              <w:rPr>
                <w:sz w:val="20"/>
                <w:szCs w:val="20"/>
              </w:rPr>
              <w:t>South Dummy</w:t>
            </w:r>
          </w:p>
        </w:tc>
        <w:tc>
          <w:tcPr>
            <w:tcW w:w="1509" w:type="dxa"/>
            <w:tcBorders>
              <w:bottom w:val="single" w:sz="4" w:space="0" w:color="auto"/>
            </w:tcBorders>
          </w:tcPr>
          <w:p w:rsidR="00EB7039" w:rsidRDefault="00765AE8" w:rsidP="0050161B">
            <w:pPr>
              <w:spacing w:after="20"/>
              <w:jc w:val="center"/>
              <w:rPr>
                <w:sz w:val="20"/>
                <w:szCs w:val="20"/>
              </w:rPr>
            </w:pPr>
            <w:r>
              <w:rPr>
                <w:sz w:val="20"/>
                <w:szCs w:val="20"/>
              </w:rPr>
              <w:t>7.111</w:t>
            </w:r>
            <w:r w:rsidR="00EB7039">
              <w:rPr>
                <w:sz w:val="20"/>
                <w:szCs w:val="20"/>
              </w:rPr>
              <w:t>***</w:t>
            </w:r>
          </w:p>
          <w:p w:rsidR="00EB7039" w:rsidRPr="005D3157" w:rsidRDefault="00765AE8" w:rsidP="0050161B">
            <w:pPr>
              <w:spacing w:after="20"/>
              <w:jc w:val="center"/>
              <w:rPr>
                <w:i/>
                <w:sz w:val="20"/>
                <w:szCs w:val="20"/>
              </w:rPr>
            </w:pPr>
            <w:r>
              <w:rPr>
                <w:i/>
                <w:sz w:val="20"/>
                <w:szCs w:val="20"/>
              </w:rPr>
              <w:t>(1.963</w:t>
            </w:r>
            <w:r w:rsidR="00EB7039">
              <w:rPr>
                <w:i/>
                <w:sz w:val="20"/>
                <w:szCs w:val="20"/>
              </w:rPr>
              <w:t>)</w:t>
            </w:r>
          </w:p>
        </w:tc>
      </w:tr>
      <w:tr w:rsidR="00EB7039" w:rsidTr="000F7B9F">
        <w:trPr>
          <w:jc w:val="center"/>
        </w:trPr>
        <w:tc>
          <w:tcPr>
            <w:tcW w:w="6019" w:type="dxa"/>
            <w:tcBorders>
              <w:top w:val="single" w:sz="4" w:space="0" w:color="auto"/>
            </w:tcBorders>
          </w:tcPr>
          <w:p w:rsidR="00EB7039" w:rsidRPr="00951918" w:rsidRDefault="00EB7039" w:rsidP="0050161B">
            <w:pPr>
              <w:spacing w:after="20"/>
              <w:jc w:val="center"/>
              <w:rPr>
                <w:sz w:val="20"/>
                <w:szCs w:val="20"/>
              </w:rPr>
            </w:pPr>
            <w:r w:rsidRPr="00951918">
              <w:rPr>
                <w:sz w:val="20"/>
                <w:szCs w:val="20"/>
              </w:rPr>
              <w:t>Constant</w:t>
            </w:r>
          </w:p>
        </w:tc>
        <w:tc>
          <w:tcPr>
            <w:tcW w:w="1509" w:type="dxa"/>
            <w:tcBorders>
              <w:top w:val="single" w:sz="4" w:space="0" w:color="auto"/>
            </w:tcBorders>
          </w:tcPr>
          <w:p w:rsidR="00EB7039" w:rsidRDefault="00765AE8" w:rsidP="0050161B">
            <w:pPr>
              <w:spacing w:after="20"/>
              <w:jc w:val="center"/>
              <w:rPr>
                <w:sz w:val="20"/>
                <w:szCs w:val="20"/>
              </w:rPr>
            </w:pPr>
            <w:r>
              <w:rPr>
                <w:sz w:val="20"/>
                <w:szCs w:val="20"/>
              </w:rPr>
              <w:t>12.136***</w:t>
            </w:r>
          </w:p>
          <w:p w:rsidR="00EB7039" w:rsidRPr="00320F73" w:rsidRDefault="00765AE8" w:rsidP="0050161B">
            <w:pPr>
              <w:spacing w:after="20"/>
              <w:jc w:val="center"/>
              <w:rPr>
                <w:i/>
                <w:sz w:val="20"/>
                <w:szCs w:val="20"/>
              </w:rPr>
            </w:pPr>
            <w:r>
              <w:rPr>
                <w:i/>
                <w:sz w:val="20"/>
                <w:szCs w:val="20"/>
              </w:rPr>
              <w:t>(2.566</w:t>
            </w:r>
            <w:r w:rsidR="00EB7039" w:rsidRPr="00320F73">
              <w:rPr>
                <w:i/>
                <w:sz w:val="20"/>
                <w:szCs w:val="20"/>
              </w:rPr>
              <w:t>)</w:t>
            </w:r>
          </w:p>
        </w:tc>
      </w:tr>
      <w:tr w:rsidR="00EB7039" w:rsidTr="000F7B9F">
        <w:trPr>
          <w:jc w:val="center"/>
        </w:trPr>
        <w:tc>
          <w:tcPr>
            <w:tcW w:w="6019" w:type="dxa"/>
          </w:tcPr>
          <w:p w:rsidR="00EB7039" w:rsidRPr="00951918" w:rsidRDefault="00EB7039" w:rsidP="0050161B">
            <w:pPr>
              <w:spacing w:after="20"/>
              <w:jc w:val="center"/>
              <w:rPr>
                <w:sz w:val="20"/>
                <w:szCs w:val="20"/>
              </w:rPr>
            </w:pPr>
            <w:r w:rsidRPr="00951918">
              <w:rPr>
                <w:sz w:val="20"/>
                <w:szCs w:val="20"/>
              </w:rPr>
              <w:t>N</w:t>
            </w:r>
          </w:p>
        </w:tc>
        <w:tc>
          <w:tcPr>
            <w:tcW w:w="1509" w:type="dxa"/>
          </w:tcPr>
          <w:p w:rsidR="00EB7039" w:rsidRPr="00951918" w:rsidRDefault="00A61452" w:rsidP="0050161B">
            <w:pPr>
              <w:spacing w:after="20"/>
              <w:jc w:val="center"/>
              <w:rPr>
                <w:sz w:val="20"/>
                <w:szCs w:val="20"/>
              </w:rPr>
            </w:pPr>
            <w:r>
              <w:rPr>
                <w:sz w:val="20"/>
                <w:szCs w:val="20"/>
              </w:rPr>
              <w:t>1833</w:t>
            </w:r>
          </w:p>
        </w:tc>
      </w:tr>
      <w:tr w:rsidR="00EB7039" w:rsidTr="000F7B9F">
        <w:trPr>
          <w:jc w:val="center"/>
        </w:trPr>
        <w:tc>
          <w:tcPr>
            <w:tcW w:w="6019" w:type="dxa"/>
            <w:tcBorders>
              <w:bottom w:val="single" w:sz="4" w:space="0" w:color="auto"/>
            </w:tcBorders>
          </w:tcPr>
          <w:p w:rsidR="00EB7039" w:rsidRPr="00951918" w:rsidRDefault="00EB7039" w:rsidP="0050161B">
            <w:pPr>
              <w:spacing w:after="20"/>
              <w:jc w:val="center"/>
              <w:rPr>
                <w:sz w:val="20"/>
                <w:szCs w:val="20"/>
              </w:rPr>
            </w:pPr>
            <w:r w:rsidRPr="00951918">
              <w:rPr>
                <w:sz w:val="20"/>
                <w:szCs w:val="20"/>
              </w:rPr>
              <w:t>R-Squared</w:t>
            </w:r>
            <w:r>
              <w:rPr>
                <w:sz w:val="20"/>
                <w:szCs w:val="20"/>
              </w:rPr>
              <w:t xml:space="preserve"> Overall</w:t>
            </w:r>
          </w:p>
        </w:tc>
        <w:tc>
          <w:tcPr>
            <w:tcW w:w="1509" w:type="dxa"/>
            <w:tcBorders>
              <w:bottom w:val="single" w:sz="4" w:space="0" w:color="auto"/>
            </w:tcBorders>
          </w:tcPr>
          <w:p w:rsidR="00EB7039" w:rsidRPr="00951918" w:rsidRDefault="00EB7039" w:rsidP="0050161B">
            <w:pPr>
              <w:spacing w:after="20"/>
              <w:jc w:val="center"/>
              <w:rPr>
                <w:sz w:val="20"/>
                <w:szCs w:val="20"/>
              </w:rPr>
            </w:pPr>
            <w:r>
              <w:rPr>
                <w:sz w:val="20"/>
                <w:szCs w:val="20"/>
              </w:rPr>
              <w:t>0.</w:t>
            </w:r>
            <w:r w:rsidR="00A61452">
              <w:rPr>
                <w:sz w:val="20"/>
                <w:szCs w:val="20"/>
              </w:rPr>
              <w:t>465</w:t>
            </w:r>
          </w:p>
        </w:tc>
      </w:tr>
    </w:tbl>
    <w:p w:rsidR="00EB7039" w:rsidRDefault="00EB7039" w:rsidP="0050161B">
      <w:pPr>
        <w:spacing w:after="20" w:line="240" w:lineRule="auto"/>
        <w:jc w:val="center"/>
        <w:rPr>
          <w:sz w:val="16"/>
          <w:szCs w:val="16"/>
        </w:rPr>
      </w:pPr>
      <w:r w:rsidRPr="001223BA">
        <w:rPr>
          <w:sz w:val="16"/>
          <w:szCs w:val="16"/>
        </w:rPr>
        <w:t>*p&lt;.10; **p&lt;.05; ***p&lt;.01</w:t>
      </w:r>
    </w:p>
    <w:p w:rsidR="00765AE8" w:rsidRDefault="00765AE8" w:rsidP="0050161B">
      <w:pPr>
        <w:spacing w:after="20" w:line="240" w:lineRule="auto"/>
        <w:jc w:val="center"/>
        <w:rPr>
          <w:sz w:val="16"/>
          <w:szCs w:val="16"/>
        </w:rPr>
      </w:pPr>
      <w:r>
        <w:rPr>
          <w:i/>
          <w:sz w:val="16"/>
          <w:szCs w:val="16"/>
        </w:rPr>
        <w:t xml:space="preserve">Note:  </w:t>
      </w:r>
      <w:r>
        <w:rPr>
          <w:sz w:val="16"/>
          <w:szCs w:val="16"/>
        </w:rPr>
        <w:t>Coefficients are reported.  Standard errors are included in parentheses below the coefficient.</w:t>
      </w:r>
    </w:p>
    <w:p w:rsidR="00765AE8" w:rsidRDefault="00765AE8" w:rsidP="0050161B">
      <w:pPr>
        <w:spacing w:after="20" w:line="240" w:lineRule="auto"/>
        <w:jc w:val="center"/>
        <w:rPr>
          <w:sz w:val="16"/>
          <w:szCs w:val="16"/>
        </w:rPr>
      </w:pPr>
      <w:r>
        <w:rPr>
          <w:sz w:val="16"/>
          <w:szCs w:val="16"/>
        </w:rPr>
        <w:t xml:space="preserve">This regression output does not include information about South Carolina and Virginia due to their use of </w:t>
      </w:r>
      <w:r w:rsidR="000F7B9F">
        <w:rPr>
          <w:sz w:val="16"/>
          <w:szCs w:val="16"/>
        </w:rPr>
        <w:t>Legislative Elections.</w:t>
      </w:r>
    </w:p>
    <w:p w:rsidR="00765AE8" w:rsidRPr="00765AE8" w:rsidRDefault="00765AE8" w:rsidP="0050161B">
      <w:pPr>
        <w:spacing w:after="20" w:line="240" w:lineRule="auto"/>
        <w:rPr>
          <w:sz w:val="16"/>
          <w:szCs w:val="16"/>
        </w:rPr>
      </w:pPr>
    </w:p>
    <w:p w:rsidR="00EB7039" w:rsidRPr="001223BA" w:rsidRDefault="00EB7039" w:rsidP="0050161B">
      <w:pPr>
        <w:spacing w:after="20" w:line="240" w:lineRule="auto"/>
        <w:jc w:val="center"/>
        <w:rPr>
          <w:sz w:val="16"/>
          <w:szCs w:val="16"/>
        </w:rPr>
      </w:pPr>
    </w:p>
    <w:p w:rsidR="00CF763B" w:rsidRDefault="00AC3185" w:rsidP="0050161B">
      <w:pPr>
        <w:spacing w:after="20" w:line="240" w:lineRule="auto"/>
        <w:jc w:val="center"/>
      </w:pPr>
      <w:r>
        <w:br w:type="page"/>
      </w:r>
      <w:r w:rsidR="005A2E9C">
        <w:rPr>
          <w:b/>
        </w:rPr>
        <w:lastRenderedPageBreak/>
        <w:t>Bibliography</w:t>
      </w:r>
    </w:p>
    <w:p w:rsidR="00BA345B" w:rsidRPr="00BA345B" w:rsidRDefault="00121D7D" w:rsidP="0050161B">
      <w:pPr>
        <w:widowControl w:val="0"/>
        <w:spacing w:after="20" w:line="240" w:lineRule="auto"/>
      </w:pPr>
      <w:proofErr w:type="gramStart"/>
      <w:r>
        <w:t>Americ</w:t>
      </w:r>
      <w:r w:rsidR="00BA345B">
        <w:t>an Judicature Society (2013).</w:t>
      </w:r>
      <w:proofErr w:type="gramEnd"/>
      <w:r w:rsidR="00BA345B">
        <w:t xml:space="preserve">  </w:t>
      </w:r>
      <w:proofErr w:type="gramStart"/>
      <w:r w:rsidR="00BA345B" w:rsidRPr="00BA345B">
        <w:rPr>
          <w:i/>
        </w:rPr>
        <w:t>Methods of Judicial Selection.</w:t>
      </w:r>
      <w:proofErr w:type="gramEnd"/>
      <w:r w:rsidR="00BA345B">
        <w:rPr>
          <w:i/>
        </w:rPr>
        <w:t xml:space="preserve">  </w:t>
      </w:r>
      <w:r w:rsidR="00BA345B">
        <w:t>Retrieved from</w:t>
      </w:r>
    </w:p>
    <w:p w:rsidR="00121D7D" w:rsidRDefault="00121D7D" w:rsidP="0050161B">
      <w:pPr>
        <w:widowControl w:val="0"/>
        <w:spacing w:after="20" w:line="240" w:lineRule="auto"/>
        <w:ind w:firstLine="720"/>
      </w:pPr>
      <w:r w:rsidRPr="00D21BB9">
        <w:t>http://www.judicialselection.com/judicial_selection/</w:t>
      </w:r>
      <w:r w:rsidR="00BA345B">
        <w:t>methods/selection_of_judges.cfm</w:t>
      </w:r>
    </w:p>
    <w:p w:rsidR="00F12627" w:rsidRDefault="009F7555" w:rsidP="0050161B">
      <w:pPr>
        <w:widowControl w:val="0"/>
        <w:spacing w:after="20" w:line="240" w:lineRule="auto"/>
      </w:pPr>
      <w:r>
        <w:t xml:space="preserve">Berry, W. D., </w:t>
      </w:r>
      <w:proofErr w:type="spellStart"/>
      <w:r>
        <w:t>Rinquist</w:t>
      </w:r>
      <w:proofErr w:type="spellEnd"/>
      <w:r>
        <w:t xml:space="preserve">, E. J., </w:t>
      </w:r>
      <w:r w:rsidR="00F12627">
        <w:t xml:space="preserve">Fording, R. C., &amp; Hanson, R. L. (1998).  Measuring Citizen and </w:t>
      </w:r>
    </w:p>
    <w:p w:rsidR="00F12627" w:rsidRPr="00F12627" w:rsidRDefault="00F12627" w:rsidP="0050161B">
      <w:pPr>
        <w:widowControl w:val="0"/>
        <w:spacing w:after="20" w:line="240" w:lineRule="auto"/>
        <w:ind w:left="720"/>
      </w:pPr>
      <w:proofErr w:type="gramStart"/>
      <w:r>
        <w:t>Government Ideology in the American States, 1960-93.”</w:t>
      </w:r>
      <w:proofErr w:type="gramEnd"/>
      <w:r>
        <w:t xml:space="preserve"> </w:t>
      </w:r>
      <w:proofErr w:type="gramStart"/>
      <w:r>
        <w:rPr>
          <w:i/>
        </w:rPr>
        <w:t>American Journal of Political Science, 41</w:t>
      </w:r>
      <w:r>
        <w:t>, 327-48.</w:t>
      </w:r>
      <w:proofErr w:type="gramEnd"/>
    </w:p>
    <w:p w:rsidR="001249CE" w:rsidRDefault="00E236BF" w:rsidP="0050161B">
      <w:pPr>
        <w:widowControl w:val="0"/>
        <w:spacing w:after="20" w:line="240" w:lineRule="auto"/>
      </w:pPr>
      <w:proofErr w:type="gramStart"/>
      <w:r>
        <w:t>Ble</w:t>
      </w:r>
      <w:r w:rsidR="0088606B">
        <w:t>dsoe</w:t>
      </w:r>
      <w:r w:rsidR="009F7555">
        <w:t>,</w:t>
      </w:r>
      <w:r w:rsidR="0088606B">
        <w:t xml:space="preserve"> T. &amp;</w:t>
      </w:r>
      <w:r>
        <w:t xml:space="preserve"> Herring</w:t>
      </w:r>
      <w:r w:rsidR="009F7555">
        <w:t>,</w:t>
      </w:r>
      <w:r w:rsidR="0088606B">
        <w:t xml:space="preserve"> M.</w:t>
      </w:r>
      <w:r>
        <w:t xml:space="preserve"> (1990).</w:t>
      </w:r>
      <w:proofErr w:type="gramEnd"/>
      <w:r>
        <w:t xml:space="preserve"> </w:t>
      </w:r>
      <w:r w:rsidR="0088606B">
        <w:t xml:space="preserve">Victims of Circumstances:  Women </w:t>
      </w:r>
      <w:r w:rsidR="001249CE">
        <w:t xml:space="preserve">in Pursuit of Political </w:t>
      </w:r>
    </w:p>
    <w:p w:rsidR="00E236BF" w:rsidRPr="0088606B" w:rsidRDefault="001249CE" w:rsidP="0050161B">
      <w:pPr>
        <w:widowControl w:val="0"/>
        <w:spacing w:after="20" w:line="240" w:lineRule="auto"/>
        <w:ind w:firstLine="720"/>
      </w:pPr>
      <w:proofErr w:type="gramStart"/>
      <w:r>
        <w:t>Office.</w:t>
      </w:r>
      <w:proofErr w:type="gramEnd"/>
      <w:r>
        <w:t xml:space="preserve"> </w:t>
      </w:r>
      <w:r w:rsidR="0088606B">
        <w:t xml:space="preserve"> </w:t>
      </w:r>
      <w:proofErr w:type="gramStart"/>
      <w:r w:rsidR="0088606B">
        <w:rPr>
          <w:i/>
        </w:rPr>
        <w:t xml:space="preserve">American Political Science </w:t>
      </w:r>
      <w:r w:rsidR="0088606B" w:rsidRPr="00BA345B">
        <w:rPr>
          <w:i/>
        </w:rPr>
        <w:t>Review</w:t>
      </w:r>
      <w:r w:rsidRPr="00BA345B">
        <w:rPr>
          <w:i/>
        </w:rPr>
        <w:t>,</w:t>
      </w:r>
      <w:r w:rsidR="0088606B" w:rsidRPr="00BA345B">
        <w:rPr>
          <w:i/>
        </w:rPr>
        <w:t xml:space="preserve"> </w:t>
      </w:r>
      <w:r w:rsidRPr="00BA345B">
        <w:rPr>
          <w:i/>
        </w:rPr>
        <w:t>66</w:t>
      </w:r>
      <w:r w:rsidRPr="00BA345B">
        <w:t xml:space="preserve"> </w:t>
      </w:r>
      <w:r>
        <w:t xml:space="preserve">(1), </w:t>
      </w:r>
      <w:r w:rsidR="0088606B">
        <w:t>144-59.</w:t>
      </w:r>
      <w:proofErr w:type="gramEnd"/>
    </w:p>
    <w:p w:rsidR="006C1F06" w:rsidRDefault="006C1F06" w:rsidP="0050161B">
      <w:pPr>
        <w:widowControl w:val="0"/>
        <w:spacing w:after="20" w:line="240" w:lineRule="auto"/>
      </w:pPr>
      <w:r>
        <w:t xml:space="preserve">Carroll, S. (1985).  Political Elites and Sex Differences in Political Ambition:  A </w:t>
      </w:r>
    </w:p>
    <w:p w:rsidR="006C1F06" w:rsidRPr="006C1F06" w:rsidRDefault="006C1F06" w:rsidP="0050161B">
      <w:pPr>
        <w:widowControl w:val="0"/>
        <w:spacing w:after="20" w:line="240" w:lineRule="auto"/>
        <w:ind w:firstLine="720"/>
      </w:pPr>
      <w:proofErr w:type="gramStart"/>
      <w:r>
        <w:t>Reconsideration.</w:t>
      </w:r>
      <w:proofErr w:type="gramEnd"/>
      <w:r>
        <w:t xml:space="preserve">  </w:t>
      </w:r>
      <w:r>
        <w:rPr>
          <w:i/>
        </w:rPr>
        <w:t>Journal of Politics, 47</w:t>
      </w:r>
      <w:r>
        <w:t>:  1231-43.</w:t>
      </w:r>
    </w:p>
    <w:p w:rsidR="001C0ECB" w:rsidRDefault="001C0ECB" w:rsidP="0050161B">
      <w:pPr>
        <w:widowControl w:val="0"/>
        <w:spacing w:after="20" w:line="240" w:lineRule="auto"/>
      </w:pPr>
      <w:r>
        <w:t xml:space="preserve">CNN (July 25, 2013).  </w:t>
      </w:r>
      <w:r>
        <w:rPr>
          <w:i/>
        </w:rPr>
        <w:t xml:space="preserve">Why Women Don’t Make Partner.  </w:t>
      </w:r>
      <w:r>
        <w:t xml:space="preserve">Accessed from </w:t>
      </w:r>
    </w:p>
    <w:p w:rsidR="001C0ECB" w:rsidRPr="001C0ECB" w:rsidRDefault="001C0ECB" w:rsidP="0050161B">
      <w:pPr>
        <w:widowControl w:val="0"/>
        <w:spacing w:after="20" w:line="240" w:lineRule="auto"/>
        <w:ind w:firstLine="720"/>
      </w:pPr>
      <w:r w:rsidRPr="001C0ECB">
        <w:t>http://www.cnn.com/2013/07/25/business/why-women-dont-make-partner/</w:t>
      </w:r>
    </w:p>
    <w:p w:rsidR="008D273A" w:rsidRPr="008D273A" w:rsidRDefault="008D273A" w:rsidP="0050161B">
      <w:pPr>
        <w:widowControl w:val="0"/>
        <w:spacing w:after="20" w:line="240" w:lineRule="auto"/>
      </w:pPr>
      <w:proofErr w:type="spellStart"/>
      <w:r w:rsidRPr="008D273A">
        <w:t>Filisko</w:t>
      </w:r>
      <w:proofErr w:type="spellEnd"/>
      <w:r w:rsidRPr="008D273A">
        <w:t>, G. M. (2012)</w:t>
      </w:r>
      <w:r>
        <w:t>.</w:t>
      </w:r>
      <w:r w:rsidRPr="008D273A">
        <w:t xml:space="preserve"> </w:t>
      </w:r>
      <w:proofErr w:type="gramStart"/>
      <w:r w:rsidRPr="008D273A">
        <w:t>The Pipeline to the State Judiciary.</w:t>
      </w:r>
      <w:proofErr w:type="gramEnd"/>
      <w:r w:rsidRPr="008D273A">
        <w:t xml:space="preserve">  </w:t>
      </w:r>
      <w:r w:rsidRPr="008D273A">
        <w:rPr>
          <w:i/>
        </w:rPr>
        <w:t>Perspectives, 21</w:t>
      </w:r>
      <w:r>
        <w:t xml:space="preserve"> (1), 10-14.</w:t>
      </w:r>
    </w:p>
    <w:p w:rsidR="001249CE" w:rsidRDefault="0088606B" w:rsidP="0050161B">
      <w:pPr>
        <w:widowControl w:val="0"/>
        <w:spacing w:after="20" w:line="240" w:lineRule="auto"/>
      </w:pPr>
      <w:r w:rsidRPr="0088606B">
        <w:t>Fox</w:t>
      </w:r>
      <w:r w:rsidR="00DD7460">
        <w:t xml:space="preserve">, R. &amp; Lawless, J. (2004). </w:t>
      </w:r>
      <w:r w:rsidRPr="0088606B">
        <w:t>Entering the Arena</w:t>
      </w:r>
      <w:r w:rsidR="00DD7460">
        <w:t xml:space="preserve">?  </w:t>
      </w:r>
      <w:proofErr w:type="gramStart"/>
      <w:r w:rsidR="00DD7460">
        <w:t>Gender and the Decision to Run for Office.</w:t>
      </w:r>
      <w:proofErr w:type="gramEnd"/>
      <w:r w:rsidR="00DD7460">
        <w:t xml:space="preserve">  </w:t>
      </w:r>
    </w:p>
    <w:p w:rsidR="0088606B" w:rsidRPr="00DD7460" w:rsidRDefault="00DD7460" w:rsidP="0050161B">
      <w:pPr>
        <w:widowControl w:val="0"/>
        <w:spacing w:after="20" w:line="240" w:lineRule="auto"/>
        <w:ind w:firstLine="720"/>
      </w:pPr>
      <w:r>
        <w:rPr>
          <w:i/>
        </w:rPr>
        <w:t>American Journal of Political Science, 48</w:t>
      </w:r>
      <w:r>
        <w:t xml:space="preserve"> (2)</w:t>
      </w:r>
      <w:r w:rsidR="001249CE">
        <w:t>, 264-280.</w:t>
      </w:r>
    </w:p>
    <w:p w:rsidR="00BA345B" w:rsidRDefault="00BA345B" w:rsidP="0050161B">
      <w:pPr>
        <w:widowControl w:val="0"/>
        <w:spacing w:after="20" w:line="240" w:lineRule="auto"/>
      </w:pPr>
      <w:proofErr w:type="gramStart"/>
      <w:r w:rsidRPr="00BA345B">
        <w:t xml:space="preserve">Fulton, S. A., </w:t>
      </w:r>
      <w:proofErr w:type="spellStart"/>
      <w:r w:rsidRPr="00BA345B">
        <w:t>Maestas</w:t>
      </w:r>
      <w:proofErr w:type="spellEnd"/>
      <w:r w:rsidRPr="00BA345B">
        <w:t xml:space="preserve">, C. D., </w:t>
      </w:r>
      <w:proofErr w:type="spellStart"/>
      <w:r w:rsidRPr="00BA345B">
        <w:t>Maisel</w:t>
      </w:r>
      <w:proofErr w:type="spellEnd"/>
      <w:r w:rsidRPr="00BA345B">
        <w:t xml:space="preserve">, </w:t>
      </w:r>
      <w:r>
        <w:t xml:space="preserve">L. </w:t>
      </w:r>
      <w:r w:rsidRPr="00BA345B">
        <w:t>S., &amp; St</w:t>
      </w:r>
      <w:r>
        <w:t>one, W. J.</w:t>
      </w:r>
      <w:r w:rsidR="001249CE">
        <w:t xml:space="preserve"> </w:t>
      </w:r>
      <w:r>
        <w:t>(</w:t>
      </w:r>
      <w:r w:rsidR="001249CE">
        <w:t>2006</w:t>
      </w:r>
      <w:r>
        <w:t>)</w:t>
      </w:r>
      <w:r w:rsidR="001249CE">
        <w:t>.</w:t>
      </w:r>
      <w:proofErr w:type="gramEnd"/>
      <w:r w:rsidR="001249CE">
        <w:t xml:space="preserve"> The Sense of a Woman: </w:t>
      </w:r>
    </w:p>
    <w:p w:rsidR="001249CE" w:rsidRDefault="001249CE" w:rsidP="0050161B">
      <w:pPr>
        <w:widowControl w:val="0"/>
        <w:spacing w:after="20" w:line="240" w:lineRule="auto"/>
        <w:ind w:left="720"/>
      </w:pPr>
      <w:proofErr w:type="gramStart"/>
      <w:r>
        <w:t>Gender, Ambition, and the Decision to Run for Office.</w:t>
      </w:r>
      <w:proofErr w:type="gramEnd"/>
      <w:r>
        <w:t xml:space="preserve">  </w:t>
      </w:r>
      <w:r>
        <w:rPr>
          <w:i/>
        </w:rPr>
        <w:t>Political Research Quarterly, 59</w:t>
      </w:r>
      <w:r>
        <w:t>, 235-248.</w:t>
      </w:r>
    </w:p>
    <w:p w:rsidR="00335F0A" w:rsidRDefault="00BA345B" w:rsidP="0050161B">
      <w:pPr>
        <w:widowControl w:val="0"/>
        <w:spacing w:after="20" w:line="240" w:lineRule="auto"/>
      </w:pPr>
      <w:proofErr w:type="gramStart"/>
      <w:r>
        <w:t xml:space="preserve">Kenney, S. J. &amp; </w:t>
      </w:r>
      <w:proofErr w:type="spellStart"/>
      <w:r>
        <w:t>Windett</w:t>
      </w:r>
      <w:proofErr w:type="spellEnd"/>
      <w:r>
        <w:t>, J. (201</w:t>
      </w:r>
      <w:r w:rsidR="00676EE7">
        <w:t>3</w:t>
      </w:r>
      <w:r>
        <w:t>).</w:t>
      </w:r>
      <w:proofErr w:type="gramEnd"/>
      <w:r>
        <w:t xml:space="preserve"> </w:t>
      </w:r>
      <w:proofErr w:type="gramStart"/>
      <w:r>
        <w:t xml:space="preserve">Diffusion of Innovation or State Political </w:t>
      </w:r>
      <w:r w:rsidR="00335F0A">
        <w:t>Culture?</w:t>
      </w:r>
      <w:proofErr w:type="gramEnd"/>
      <w:r w:rsidR="00335F0A">
        <w:t xml:space="preserve">  </w:t>
      </w:r>
    </w:p>
    <w:p w:rsidR="00676EE7" w:rsidRDefault="00335F0A" w:rsidP="0050161B">
      <w:pPr>
        <w:widowControl w:val="0"/>
        <w:spacing w:after="20" w:line="240" w:lineRule="auto"/>
        <w:ind w:left="720"/>
      </w:pPr>
      <w:proofErr w:type="gramStart"/>
      <w:r>
        <w:t>Explaining the First Women State Supreme Court Justices.</w:t>
      </w:r>
      <w:proofErr w:type="gramEnd"/>
      <w:r>
        <w:t xml:space="preserve">  </w:t>
      </w:r>
      <w:proofErr w:type="gramStart"/>
      <w:r w:rsidR="00676EE7">
        <w:rPr>
          <w:i/>
        </w:rPr>
        <w:t>Working Paper</w:t>
      </w:r>
      <w:r w:rsidR="00676EE7">
        <w:t>.</w:t>
      </w:r>
      <w:proofErr w:type="gramEnd"/>
      <w:r w:rsidR="00676EE7">
        <w:t xml:space="preserve">  R</w:t>
      </w:r>
      <w:r>
        <w:t xml:space="preserve">etrieved from </w:t>
      </w:r>
      <w:r w:rsidRPr="00335F0A">
        <w:t>http://2012sppconference.blogs.rice.edu/files/2012/02/Kenney_Windett_SPPC_</w:t>
      </w:r>
    </w:p>
    <w:p w:rsidR="00335F0A" w:rsidRPr="00BA345B" w:rsidRDefault="00335F0A" w:rsidP="0050161B">
      <w:pPr>
        <w:widowControl w:val="0"/>
        <w:spacing w:after="20" w:line="240" w:lineRule="auto"/>
        <w:ind w:left="720"/>
      </w:pPr>
      <w:r w:rsidRPr="00335F0A">
        <w:t>Draft.pdf</w:t>
      </w:r>
    </w:p>
    <w:p w:rsidR="0077125F" w:rsidRDefault="00CF763B" w:rsidP="0050161B">
      <w:pPr>
        <w:widowControl w:val="0"/>
        <w:spacing w:after="20" w:line="240" w:lineRule="auto"/>
        <w:rPr>
          <w:i/>
          <w:iCs/>
        </w:rPr>
      </w:pPr>
      <w:r w:rsidRPr="00CF763B">
        <w:t xml:space="preserve">Goldstein, A. (2007). </w:t>
      </w:r>
      <w:r w:rsidR="008A6259">
        <w:t>Judicial Selection as It Related to Gender Equality on the Bench</w:t>
      </w:r>
      <w:r w:rsidRPr="00CF763B">
        <w:t>. </w:t>
      </w:r>
      <w:r>
        <w:rPr>
          <w:i/>
          <w:iCs/>
        </w:rPr>
        <w:t xml:space="preserve">Cardozo </w:t>
      </w:r>
    </w:p>
    <w:p w:rsidR="009B6215" w:rsidRDefault="00CF763B" w:rsidP="0050161B">
      <w:pPr>
        <w:widowControl w:val="0"/>
        <w:spacing w:after="20" w:line="240" w:lineRule="auto"/>
        <w:ind w:firstLine="720"/>
      </w:pPr>
      <w:r>
        <w:rPr>
          <w:i/>
          <w:iCs/>
        </w:rPr>
        <w:t>Journal o</w:t>
      </w:r>
      <w:r w:rsidRPr="00CF763B">
        <w:rPr>
          <w:i/>
          <w:iCs/>
        </w:rPr>
        <w:t>f Law &amp; Gender</w:t>
      </w:r>
      <w:r w:rsidRPr="00CF763B">
        <w:t>, </w:t>
      </w:r>
      <w:r w:rsidRPr="00CF763B">
        <w:rPr>
          <w:i/>
          <w:iCs/>
        </w:rPr>
        <w:t>13</w:t>
      </w:r>
      <w:r w:rsidR="0077125F">
        <w:rPr>
          <w:i/>
          <w:iCs/>
        </w:rPr>
        <w:t xml:space="preserve">, </w:t>
      </w:r>
      <w:r w:rsidRPr="00CF763B">
        <w:t>369</w:t>
      </w:r>
      <w:r w:rsidR="0077125F">
        <w:t>-405</w:t>
      </w:r>
      <w:r w:rsidRPr="00CF763B">
        <w:t>.</w:t>
      </w:r>
    </w:p>
    <w:p w:rsidR="0024183F" w:rsidRPr="0024183F" w:rsidRDefault="0024183F" w:rsidP="0050161B">
      <w:pPr>
        <w:widowControl w:val="0"/>
        <w:spacing w:after="20" w:line="240" w:lineRule="auto"/>
      </w:pPr>
      <w:r>
        <w:t xml:space="preserve">Hook, J. (2012).  </w:t>
      </w:r>
      <w:proofErr w:type="gramStart"/>
      <w:r>
        <w:t>Another ‘Year of Women’ in Congress.</w:t>
      </w:r>
      <w:proofErr w:type="gramEnd"/>
      <w:r>
        <w:t xml:space="preserve">  </w:t>
      </w:r>
      <w:proofErr w:type="gramStart"/>
      <w:r>
        <w:rPr>
          <w:i/>
        </w:rPr>
        <w:t>The Wall Street Journal</w:t>
      </w:r>
      <w:r>
        <w:t>.</w:t>
      </w:r>
      <w:proofErr w:type="gramEnd"/>
      <w:r>
        <w:t xml:space="preserve">  </w:t>
      </w:r>
    </w:p>
    <w:p w:rsidR="009E7242" w:rsidRDefault="009E7242" w:rsidP="0050161B">
      <w:pPr>
        <w:widowControl w:val="0"/>
        <w:spacing w:after="20" w:line="240" w:lineRule="auto"/>
      </w:pPr>
      <w:proofErr w:type="gramStart"/>
      <w:r>
        <w:t>Maryland Courts (2013).</w:t>
      </w:r>
      <w:proofErr w:type="gramEnd"/>
      <w:r>
        <w:t xml:space="preserve"> </w:t>
      </w:r>
      <w:r w:rsidRPr="009E7242">
        <w:rPr>
          <w:i/>
        </w:rPr>
        <w:t>Court of Appeals- Welcome</w:t>
      </w:r>
      <w:r>
        <w:t xml:space="preserve">. Accessed from </w:t>
      </w:r>
    </w:p>
    <w:p w:rsidR="009E7242" w:rsidRDefault="009E7242" w:rsidP="0050161B">
      <w:pPr>
        <w:widowControl w:val="0"/>
        <w:spacing w:after="20" w:line="240" w:lineRule="auto"/>
        <w:ind w:firstLine="720"/>
      </w:pPr>
      <w:r w:rsidRPr="009E7242">
        <w:t>http://www.courts.state.md.us/coappeals/</w:t>
      </w:r>
    </w:p>
    <w:p w:rsidR="00DA41FC" w:rsidRDefault="00DA41FC" w:rsidP="0050161B">
      <w:pPr>
        <w:widowControl w:val="0"/>
        <w:spacing w:after="20" w:line="240" w:lineRule="auto"/>
      </w:pPr>
      <w:proofErr w:type="gramStart"/>
      <w:r>
        <w:t>Center for American Women and Politics</w:t>
      </w:r>
      <w:r w:rsidR="00E51BA3">
        <w:t xml:space="preserve"> (2013).</w:t>
      </w:r>
      <w:proofErr w:type="gramEnd"/>
      <w:r w:rsidR="00E51BA3">
        <w:t xml:space="preserve">  </w:t>
      </w:r>
      <w:proofErr w:type="gramStart"/>
      <w:r w:rsidR="00E51BA3">
        <w:rPr>
          <w:i/>
        </w:rPr>
        <w:t>Current Numbers of Women Officeholders</w:t>
      </w:r>
      <w:r w:rsidR="00E51BA3">
        <w:t>.</w:t>
      </w:r>
      <w:proofErr w:type="gramEnd"/>
      <w:r w:rsidR="00E51BA3">
        <w:t xml:space="preserve">  </w:t>
      </w:r>
    </w:p>
    <w:p w:rsidR="00DA41FC" w:rsidRDefault="00BA345B" w:rsidP="0050161B">
      <w:pPr>
        <w:widowControl w:val="0"/>
        <w:spacing w:after="20" w:line="240" w:lineRule="auto"/>
        <w:ind w:firstLine="720"/>
      </w:pPr>
      <w:r>
        <w:t>Retrieved from</w:t>
      </w:r>
      <w:r w:rsidR="00DA41FC">
        <w:t xml:space="preserve"> </w:t>
      </w:r>
      <w:r w:rsidR="00E51BA3" w:rsidRPr="00E51BA3">
        <w:t>http://www.cawp.rutgers.edu/fast_facts/levels_of_office/</w:t>
      </w:r>
    </w:p>
    <w:p w:rsidR="00E51BA3" w:rsidRDefault="00E51BA3" w:rsidP="0050161B">
      <w:pPr>
        <w:widowControl w:val="0"/>
        <w:spacing w:after="20" w:line="240" w:lineRule="auto"/>
        <w:ind w:firstLine="720"/>
      </w:pPr>
      <w:r w:rsidRPr="00E51BA3">
        <w:t>Current_Numbers.php</w:t>
      </w:r>
    </w:p>
    <w:p w:rsidR="00406CFB" w:rsidRDefault="00406CFB" w:rsidP="0050161B">
      <w:pPr>
        <w:widowControl w:val="0"/>
        <w:spacing w:after="20" w:line="240" w:lineRule="auto"/>
      </w:pPr>
      <w:proofErr w:type="gramStart"/>
      <w:r>
        <w:t>The Fund for Modern Courts (2012).</w:t>
      </w:r>
      <w:proofErr w:type="gramEnd"/>
      <w:r>
        <w:t xml:space="preserve">  </w:t>
      </w:r>
      <w:proofErr w:type="gramStart"/>
      <w:r>
        <w:rPr>
          <w:i/>
        </w:rPr>
        <w:t>Methods of Judicial Selection</w:t>
      </w:r>
      <w:r>
        <w:t>.</w:t>
      </w:r>
      <w:proofErr w:type="gramEnd"/>
      <w:r>
        <w:t xml:space="preserve">  Accessed from </w:t>
      </w:r>
    </w:p>
    <w:p w:rsidR="00406CFB" w:rsidRPr="00406CFB" w:rsidRDefault="00406CFB" w:rsidP="0050161B">
      <w:pPr>
        <w:widowControl w:val="0"/>
        <w:spacing w:after="20" w:line="240" w:lineRule="auto"/>
        <w:ind w:firstLine="720"/>
      </w:pPr>
      <w:r w:rsidRPr="00406CFB">
        <w:t>http://www.moderncourts.org/advocacy/judicial_selection/methods.html</w:t>
      </w:r>
    </w:p>
    <w:p w:rsidR="005C1BE4" w:rsidRDefault="005C1BE4" w:rsidP="0050161B">
      <w:pPr>
        <w:widowControl w:val="0"/>
        <w:spacing w:after="20" w:line="240" w:lineRule="auto"/>
      </w:pPr>
      <w:r>
        <w:t xml:space="preserve">Tobias, C. (1991).   More Women Named Federal Judges. </w:t>
      </w:r>
      <w:proofErr w:type="gramStart"/>
      <w:r>
        <w:rPr>
          <w:i/>
        </w:rPr>
        <w:t>Florida Law Review</w:t>
      </w:r>
      <w:r w:rsidR="008A6259">
        <w:rPr>
          <w:i/>
        </w:rPr>
        <w:t>, 43</w:t>
      </w:r>
      <w:r w:rsidR="008A6259">
        <w:t xml:space="preserve">, </w:t>
      </w:r>
      <w:r>
        <w:t>477-86</w:t>
      </w:r>
      <w:r w:rsidR="008A6259">
        <w:t>.</w:t>
      </w:r>
      <w:proofErr w:type="gramEnd"/>
    </w:p>
    <w:p w:rsidR="008A6259" w:rsidRDefault="005C1BE4" w:rsidP="0050161B">
      <w:pPr>
        <w:widowControl w:val="0"/>
        <w:spacing w:after="20" w:line="240" w:lineRule="auto"/>
        <w:rPr>
          <w:i/>
        </w:rPr>
      </w:pPr>
      <w:r>
        <w:t xml:space="preserve">Tobias, C. (1992-93). </w:t>
      </w:r>
      <w:proofErr w:type="gramStart"/>
      <w:r>
        <w:t>Closing the Gender Gap on the Federal Courts.</w:t>
      </w:r>
      <w:proofErr w:type="gramEnd"/>
      <w:r>
        <w:t xml:space="preserve">  </w:t>
      </w:r>
      <w:r>
        <w:rPr>
          <w:i/>
        </w:rPr>
        <w:t xml:space="preserve">Cincinnati Law Review, </w:t>
      </w:r>
    </w:p>
    <w:p w:rsidR="00671B7B" w:rsidRPr="005C1BE4" w:rsidRDefault="008A6259" w:rsidP="0050161B">
      <w:pPr>
        <w:widowControl w:val="0"/>
        <w:spacing w:after="20" w:line="240" w:lineRule="auto"/>
        <w:ind w:firstLine="720"/>
      </w:pPr>
      <w:r>
        <w:rPr>
          <w:i/>
        </w:rPr>
        <w:t xml:space="preserve">61, </w:t>
      </w:r>
      <w:r w:rsidR="005C1BE4">
        <w:t>1237-49.</w:t>
      </w:r>
    </w:p>
    <w:p w:rsidR="004B62F8" w:rsidRDefault="009B6215" w:rsidP="0050161B">
      <w:pPr>
        <w:widowControl w:val="0"/>
        <w:spacing w:after="20" w:line="240" w:lineRule="auto"/>
      </w:pPr>
      <w:proofErr w:type="spellStart"/>
      <w:r>
        <w:t>Tokarz</w:t>
      </w:r>
      <w:proofErr w:type="spellEnd"/>
      <w:r>
        <w:t>, K. (1986)</w:t>
      </w:r>
      <w:r w:rsidR="005C1BE4">
        <w:t>.</w:t>
      </w:r>
      <w:r>
        <w:t xml:space="preserve"> Women Judges and Merit Selection </w:t>
      </w:r>
      <w:proofErr w:type="gramStart"/>
      <w:r>
        <w:t>Under</w:t>
      </w:r>
      <w:proofErr w:type="gramEnd"/>
      <w:r>
        <w:t xml:space="preserve"> the Missouri Plan, 64 Wash. U. L. </w:t>
      </w:r>
    </w:p>
    <w:p w:rsidR="00671B7B" w:rsidRDefault="009B6215" w:rsidP="0050161B">
      <w:pPr>
        <w:widowControl w:val="0"/>
        <w:spacing w:after="20" w:line="240" w:lineRule="auto"/>
        <w:ind w:firstLine="720"/>
      </w:pPr>
      <w:r>
        <w:t>Q. 903.  Available at: http://digitalcommons.law.wustl.edu/lawreview/vol64/iss3/10</w:t>
      </w:r>
    </w:p>
    <w:p w:rsidR="001C0ECB" w:rsidRDefault="001C0ECB" w:rsidP="0050161B">
      <w:pPr>
        <w:widowControl w:val="0"/>
        <w:spacing w:after="20" w:line="240" w:lineRule="auto"/>
        <w:rPr>
          <w:i/>
        </w:rPr>
      </w:pPr>
      <w:proofErr w:type="gramStart"/>
      <w:r>
        <w:t>United States Courts (March 29, 2013).</w:t>
      </w:r>
      <w:proofErr w:type="gramEnd"/>
      <w:r>
        <w:t xml:space="preserve">  </w:t>
      </w:r>
      <w:r>
        <w:rPr>
          <w:i/>
        </w:rPr>
        <w:t xml:space="preserve">Decades </w:t>
      </w:r>
      <w:proofErr w:type="gramStart"/>
      <w:r>
        <w:rPr>
          <w:i/>
        </w:rPr>
        <w:t>After</w:t>
      </w:r>
      <w:proofErr w:type="gramEnd"/>
      <w:r>
        <w:rPr>
          <w:i/>
        </w:rPr>
        <w:t xml:space="preserve"> O’Connor, Role of Women Judges Still </w:t>
      </w:r>
    </w:p>
    <w:p w:rsidR="001C0ECB" w:rsidRPr="001C0ECB" w:rsidRDefault="001C0ECB" w:rsidP="0050161B">
      <w:pPr>
        <w:widowControl w:val="0"/>
        <w:spacing w:after="20" w:line="240" w:lineRule="auto"/>
        <w:ind w:left="720"/>
      </w:pPr>
      <w:proofErr w:type="gramStart"/>
      <w:r>
        <w:rPr>
          <w:i/>
        </w:rPr>
        <w:t>Growing.</w:t>
      </w:r>
      <w:proofErr w:type="gramEnd"/>
      <w:r>
        <w:rPr>
          <w:i/>
        </w:rPr>
        <w:t xml:space="preserve">  </w:t>
      </w:r>
      <w:r>
        <w:t xml:space="preserve">Accessed from </w:t>
      </w:r>
      <w:r w:rsidRPr="001C0ECB">
        <w:t>http://news.uscourts.gov/decades-after-oconnor-role-women-judges-still-growing</w:t>
      </w:r>
    </w:p>
    <w:p w:rsidR="00BA345B" w:rsidRDefault="00BA345B" w:rsidP="0050161B">
      <w:pPr>
        <w:widowControl w:val="0"/>
        <w:spacing w:after="20" w:line="240" w:lineRule="auto"/>
      </w:pPr>
      <w:proofErr w:type="gramStart"/>
      <w:r>
        <w:t>United States Courts (2013).</w:t>
      </w:r>
      <w:proofErr w:type="gramEnd"/>
      <w:r>
        <w:t xml:space="preserve">  </w:t>
      </w:r>
      <w:proofErr w:type="gramStart"/>
      <w:r w:rsidRPr="00BA345B">
        <w:rPr>
          <w:i/>
        </w:rPr>
        <w:t>Federal Judges</w:t>
      </w:r>
      <w:r>
        <w:t>.</w:t>
      </w:r>
      <w:proofErr w:type="gramEnd"/>
      <w:r w:rsidR="006B06D9">
        <w:t xml:space="preserve">  Accessed from </w:t>
      </w:r>
    </w:p>
    <w:p w:rsidR="006B06D9" w:rsidRDefault="006B06D9" w:rsidP="0050161B">
      <w:pPr>
        <w:widowControl w:val="0"/>
        <w:spacing w:after="20" w:line="240" w:lineRule="auto"/>
        <w:ind w:firstLine="720"/>
      </w:pPr>
      <w:r w:rsidRPr="006B06D9">
        <w:t>http://www.uscourts.gov/Common/FAQS.aspx</w:t>
      </w:r>
    </w:p>
    <w:p w:rsidR="00BA345B" w:rsidRDefault="00671B7B" w:rsidP="0050161B">
      <w:pPr>
        <w:widowControl w:val="0"/>
        <w:spacing w:after="20" w:line="240" w:lineRule="auto"/>
      </w:pPr>
      <w:proofErr w:type="gramStart"/>
      <w:r>
        <w:t>Williams, M. (2008) Ambition, Gender, and the Judiciary.</w:t>
      </w:r>
      <w:proofErr w:type="gramEnd"/>
      <w:r w:rsidR="00BA345B">
        <w:t xml:space="preserve">  </w:t>
      </w:r>
      <w:r w:rsidR="00BA345B">
        <w:rPr>
          <w:i/>
        </w:rPr>
        <w:t xml:space="preserve">Political Research Quarterly, 61 </w:t>
      </w:r>
      <w:r w:rsidR="00BA345B">
        <w:t xml:space="preserve">(1), </w:t>
      </w:r>
    </w:p>
    <w:p w:rsidR="00CB19C4" w:rsidRDefault="00BA345B" w:rsidP="0050161B">
      <w:pPr>
        <w:widowControl w:val="0"/>
        <w:spacing w:after="20" w:line="240" w:lineRule="auto"/>
        <w:ind w:firstLine="720"/>
      </w:pPr>
      <w:proofErr w:type="gramStart"/>
      <w:r>
        <w:t>68-78.</w:t>
      </w:r>
      <w:proofErr w:type="gramEnd"/>
    </w:p>
    <w:p w:rsidR="008A6259" w:rsidRDefault="00CB19C4" w:rsidP="0050161B">
      <w:pPr>
        <w:widowControl w:val="0"/>
        <w:spacing w:after="20" w:line="240" w:lineRule="auto"/>
      </w:pPr>
      <w:proofErr w:type="spellStart"/>
      <w:r>
        <w:lastRenderedPageBreak/>
        <w:t>Windett</w:t>
      </w:r>
      <w:proofErr w:type="spellEnd"/>
      <w:r w:rsidR="008A6259">
        <w:t xml:space="preserve">, J. (2011).  State Effects and the Emergence and Success of Female Gubernatorial </w:t>
      </w:r>
    </w:p>
    <w:p w:rsidR="00CB19C4" w:rsidRDefault="008A6259" w:rsidP="0050161B">
      <w:pPr>
        <w:widowControl w:val="0"/>
        <w:spacing w:after="20" w:line="240" w:lineRule="auto"/>
        <w:ind w:firstLine="720"/>
      </w:pPr>
      <w:proofErr w:type="gramStart"/>
      <w:r>
        <w:t>Candidates.</w:t>
      </w:r>
      <w:proofErr w:type="gramEnd"/>
      <w:r>
        <w:t xml:space="preserve">  </w:t>
      </w:r>
      <w:r>
        <w:rPr>
          <w:i/>
        </w:rPr>
        <w:t>State Politics &amp; Policy Quarterly, 11</w:t>
      </w:r>
      <w:r w:rsidR="001249CE">
        <w:t xml:space="preserve"> (4), </w:t>
      </w:r>
      <w:r>
        <w:t>460-482.</w:t>
      </w:r>
    </w:p>
    <w:p w:rsidR="00CB19C4" w:rsidRDefault="00CB19C4" w:rsidP="0050161B">
      <w:pPr>
        <w:widowControl w:val="0"/>
        <w:spacing w:after="20" w:line="240" w:lineRule="auto"/>
      </w:pPr>
    </w:p>
    <w:sectPr w:rsidR="00CB19C4" w:rsidSect="00520D44">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65D" w:rsidRDefault="0090165D" w:rsidP="00EA0183">
      <w:pPr>
        <w:spacing w:after="0" w:line="240" w:lineRule="auto"/>
      </w:pPr>
      <w:r>
        <w:separator/>
      </w:r>
    </w:p>
  </w:endnote>
  <w:endnote w:type="continuationSeparator" w:id="0">
    <w:p w:rsidR="0090165D" w:rsidRDefault="0090165D" w:rsidP="00EA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65D" w:rsidRDefault="0090165D" w:rsidP="00EA0183">
      <w:pPr>
        <w:spacing w:after="0" w:line="240" w:lineRule="auto"/>
      </w:pPr>
      <w:r>
        <w:separator/>
      </w:r>
    </w:p>
  </w:footnote>
  <w:footnote w:type="continuationSeparator" w:id="0">
    <w:p w:rsidR="0090165D" w:rsidRDefault="0090165D" w:rsidP="00EA0183">
      <w:pPr>
        <w:spacing w:after="0" w:line="240" w:lineRule="auto"/>
      </w:pPr>
      <w:r>
        <w:continuationSeparator/>
      </w:r>
    </w:p>
  </w:footnote>
  <w:footnote w:id="1">
    <w:p w:rsidR="00843172" w:rsidRDefault="00843172">
      <w:pPr>
        <w:pStyle w:val="FootnoteText"/>
      </w:pPr>
      <w:r>
        <w:rPr>
          <w:rStyle w:val="FootnoteReference"/>
        </w:rPr>
        <w:footnoteRef/>
      </w:r>
      <w:r>
        <w:t xml:space="preserve"> I included Maryland in my analysis even though its highest court is the Court of Appeals since its functions are similar to other courts (Maryland Courts, 2013).</w:t>
      </w:r>
    </w:p>
  </w:footnote>
  <w:footnote w:id="2">
    <w:p w:rsidR="00843172" w:rsidRDefault="00843172">
      <w:pPr>
        <w:pStyle w:val="FootnoteText"/>
      </w:pPr>
      <w:r>
        <w:rPr>
          <w:rStyle w:val="FootnoteReference"/>
        </w:rPr>
        <w:footnoteRef/>
      </w:r>
      <w:r>
        <w:t xml:space="preserve"> As previously noted in the paper, Massachusetts and New Hampshire are exceptions to this requirement since they only have an age limit in regards to their restriction of the eligibility pool.</w:t>
      </w:r>
    </w:p>
  </w:footnote>
  <w:footnote w:id="3">
    <w:p w:rsidR="00843172" w:rsidRDefault="00843172" w:rsidP="005A2E9C">
      <w:pPr>
        <w:pStyle w:val="FootnoteText"/>
      </w:pPr>
      <w:r>
        <w:rPr>
          <w:rStyle w:val="FootnoteReference"/>
        </w:rPr>
        <w:footnoteRef/>
      </w:r>
      <w:r>
        <w:t xml:space="preserve"> This shift is not as clearly seen in the merit-based system where the rise appears to be relatively constant over time.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7653"/>
      <w:docPartObj>
        <w:docPartGallery w:val="Page Numbers (Top of Page)"/>
        <w:docPartUnique/>
      </w:docPartObj>
    </w:sdtPr>
    <w:sdtEndPr/>
    <w:sdtContent>
      <w:p w:rsidR="00843172" w:rsidRDefault="00843172" w:rsidP="00520D44">
        <w:pPr>
          <w:pStyle w:val="Header"/>
        </w:pPr>
        <w:r>
          <w:t>WOMEN IN THE JUDCIARY</w:t>
        </w:r>
        <w:r>
          <w:tab/>
        </w:r>
        <w:r>
          <w:tab/>
        </w:r>
        <w:r w:rsidR="0090165D">
          <w:fldChar w:fldCharType="begin"/>
        </w:r>
        <w:r w:rsidR="0090165D">
          <w:instrText xml:space="preserve"> PAGE   \* MERGEFORMAT </w:instrText>
        </w:r>
        <w:r w:rsidR="0090165D">
          <w:fldChar w:fldCharType="separate"/>
        </w:r>
        <w:r w:rsidR="009637A3">
          <w:rPr>
            <w:noProof/>
          </w:rPr>
          <w:t>19</w:t>
        </w:r>
        <w:r w:rsidR="0090165D">
          <w:rPr>
            <w:noProof/>
          </w:rPr>
          <w:fldChar w:fldCharType="end"/>
        </w:r>
      </w:p>
    </w:sdtContent>
  </w:sdt>
  <w:p w:rsidR="00843172" w:rsidRDefault="00843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172" w:rsidRDefault="00843172" w:rsidP="00520D44">
    <w:pPr>
      <w:pStyle w:val="Header"/>
    </w:pPr>
    <w:r>
      <w:t>Running head:  WOMEN IN THE JUDICIARY</w:t>
    </w:r>
    <w:r>
      <w:tab/>
    </w:r>
    <w:r>
      <w:tab/>
    </w:r>
    <w:sdt>
      <w:sdtPr>
        <w:id w:val="705799721"/>
        <w:docPartObj>
          <w:docPartGallery w:val="Page Numbers (Top of Page)"/>
          <w:docPartUnique/>
        </w:docPartObj>
      </w:sdtPr>
      <w:sdtEndPr/>
      <w:sdtContent>
        <w:r w:rsidR="0090165D">
          <w:fldChar w:fldCharType="begin"/>
        </w:r>
        <w:r w:rsidR="0090165D">
          <w:instrText xml:space="preserve"> PAGE   \* MERGEFORMAT </w:instrText>
        </w:r>
        <w:r w:rsidR="0090165D">
          <w:fldChar w:fldCharType="separate"/>
        </w:r>
        <w:r w:rsidR="009637A3">
          <w:rPr>
            <w:noProof/>
          </w:rPr>
          <w:t>1</w:t>
        </w:r>
        <w:r w:rsidR="0090165D">
          <w:rPr>
            <w:noProof/>
          </w:rPr>
          <w:fldChar w:fldCharType="end"/>
        </w:r>
      </w:sdtContent>
    </w:sdt>
  </w:p>
  <w:p w:rsidR="00843172" w:rsidRDefault="008431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22B"/>
    <w:rsid w:val="00000050"/>
    <w:rsid w:val="00004FF1"/>
    <w:rsid w:val="000141C3"/>
    <w:rsid w:val="00016571"/>
    <w:rsid w:val="00025C41"/>
    <w:rsid w:val="000278D3"/>
    <w:rsid w:val="0003164E"/>
    <w:rsid w:val="0003422B"/>
    <w:rsid w:val="00042852"/>
    <w:rsid w:val="00043093"/>
    <w:rsid w:val="00080A43"/>
    <w:rsid w:val="00092058"/>
    <w:rsid w:val="000A0316"/>
    <w:rsid w:val="000A0688"/>
    <w:rsid w:val="000C3FDE"/>
    <w:rsid w:val="000F26F1"/>
    <w:rsid w:val="000F7B9F"/>
    <w:rsid w:val="001029D3"/>
    <w:rsid w:val="0010421D"/>
    <w:rsid w:val="00121D7D"/>
    <w:rsid w:val="001223BA"/>
    <w:rsid w:val="001249CE"/>
    <w:rsid w:val="0013597C"/>
    <w:rsid w:val="001368A4"/>
    <w:rsid w:val="0016011C"/>
    <w:rsid w:val="00164A87"/>
    <w:rsid w:val="00166D03"/>
    <w:rsid w:val="00180696"/>
    <w:rsid w:val="0019196C"/>
    <w:rsid w:val="00197A09"/>
    <w:rsid w:val="001A261E"/>
    <w:rsid w:val="001B109E"/>
    <w:rsid w:val="001B4EE6"/>
    <w:rsid w:val="001C0ECB"/>
    <w:rsid w:val="001E0DF9"/>
    <w:rsid w:val="001E667E"/>
    <w:rsid w:val="002056C3"/>
    <w:rsid w:val="00205E6D"/>
    <w:rsid w:val="0021103B"/>
    <w:rsid w:val="00216E6C"/>
    <w:rsid w:val="002256FF"/>
    <w:rsid w:val="00230CA9"/>
    <w:rsid w:val="002348FA"/>
    <w:rsid w:val="00235C53"/>
    <w:rsid w:val="0024183F"/>
    <w:rsid w:val="00245926"/>
    <w:rsid w:val="00257FA0"/>
    <w:rsid w:val="00281FEB"/>
    <w:rsid w:val="00285C51"/>
    <w:rsid w:val="00287E48"/>
    <w:rsid w:val="00295895"/>
    <w:rsid w:val="00295B18"/>
    <w:rsid w:val="002A1CDC"/>
    <w:rsid w:val="002A258C"/>
    <w:rsid w:val="002C128A"/>
    <w:rsid w:val="002C5A76"/>
    <w:rsid w:val="002E77AD"/>
    <w:rsid w:val="00303BE4"/>
    <w:rsid w:val="00310FFB"/>
    <w:rsid w:val="00320F73"/>
    <w:rsid w:val="00335F0A"/>
    <w:rsid w:val="00350201"/>
    <w:rsid w:val="003510CF"/>
    <w:rsid w:val="00357A2C"/>
    <w:rsid w:val="00380CA7"/>
    <w:rsid w:val="0039426F"/>
    <w:rsid w:val="00395850"/>
    <w:rsid w:val="00395C2F"/>
    <w:rsid w:val="003975B0"/>
    <w:rsid w:val="003A6873"/>
    <w:rsid w:val="003A7537"/>
    <w:rsid w:val="003B6A6A"/>
    <w:rsid w:val="003C0206"/>
    <w:rsid w:val="003C086E"/>
    <w:rsid w:val="003C2CC4"/>
    <w:rsid w:val="003C3EF6"/>
    <w:rsid w:val="003C6D68"/>
    <w:rsid w:val="003E548B"/>
    <w:rsid w:val="003F118A"/>
    <w:rsid w:val="00406CF6"/>
    <w:rsid w:val="00406CFB"/>
    <w:rsid w:val="004119B6"/>
    <w:rsid w:val="004137C2"/>
    <w:rsid w:val="00417B42"/>
    <w:rsid w:val="00435667"/>
    <w:rsid w:val="004472DE"/>
    <w:rsid w:val="004509CB"/>
    <w:rsid w:val="004521E7"/>
    <w:rsid w:val="00460AF8"/>
    <w:rsid w:val="0046385D"/>
    <w:rsid w:val="00470477"/>
    <w:rsid w:val="00474F5B"/>
    <w:rsid w:val="00475564"/>
    <w:rsid w:val="004B62F8"/>
    <w:rsid w:val="004B7A56"/>
    <w:rsid w:val="004C0691"/>
    <w:rsid w:val="004E21F9"/>
    <w:rsid w:val="004E2BC4"/>
    <w:rsid w:val="004F25CA"/>
    <w:rsid w:val="0050161B"/>
    <w:rsid w:val="0051345E"/>
    <w:rsid w:val="005168F1"/>
    <w:rsid w:val="00520D44"/>
    <w:rsid w:val="00521D06"/>
    <w:rsid w:val="00527A5A"/>
    <w:rsid w:val="00531B07"/>
    <w:rsid w:val="00542315"/>
    <w:rsid w:val="00543A58"/>
    <w:rsid w:val="00576550"/>
    <w:rsid w:val="005A2E9C"/>
    <w:rsid w:val="005A4247"/>
    <w:rsid w:val="005C1BE4"/>
    <w:rsid w:val="005D29E5"/>
    <w:rsid w:val="005D3157"/>
    <w:rsid w:val="005D384B"/>
    <w:rsid w:val="005D795F"/>
    <w:rsid w:val="005F726C"/>
    <w:rsid w:val="00601732"/>
    <w:rsid w:val="0060393A"/>
    <w:rsid w:val="006121B8"/>
    <w:rsid w:val="00613334"/>
    <w:rsid w:val="0061356E"/>
    <w:rsid w:val="00614945"/>
    <w:rsid w:val="006258FA"/>
    <w:rsid w:val="00646D9D"/>
    <w:rsid w:val="00652B3A"/>
    <w:rsid w:val="00653A6E"/>
    <w:rsid w:val="00671B7B"/>
    <w:rsid w:val="00676EE7"/>
    <w:rsid w:val="00681108"/>
    <w:rsid w:val="00690F6A"/>
    <w:rsid w:val="006A7789"/>
    <w:rsid w:val="006B06D9"/>
    <w:rsid w:val="006B28FD"/>
    <w:rsid w:val="006C1F06"/>
    <w:rsid w:val="006D22C6"/>
    <w:rsid w:val="006D6968"/>
    <w:rsid w:val="006E4E3A"/>
    <w:rsid w:val="006F19A2"/>
    <w:rsid w:val="00702DE2"/>
    <w:rsid w:val="00720724"/>
    <w:rsid w:val="0072207A"/>
    <w:rsid w:val="00725D2E"/>
    <w:rsid w:val="00727706"/>
    <w:rsid w:val="007534AB"/>
    <w:rsid w:val="00756853"/>
    <w:rsid w:val="00756B6B"/>
    <w:rsid w:val="00762795"/>
    <w:rsid w:val="00763653"/>
    <w:rsid w:val="00764512"/>
    <w:rsid w:val="00765AE8"/>
    <w:rsid w:val="00767C77"/>
    <w:rsid w:val="00771065"/>
    <w:rsid w:val="0077125F"/>
    <w:rsid w:val="007738B9"/>
    <w:rsid w:val="0077630C"/>
    <w:rsid w:val="00776FE2"/>
    <w:rsid w:val="00777CA8"/>
    <w:rsid w:val="00780683"/>
    <w:rsid w:val="00791F46"/>
    <w:rsid w:val="00792ED3"/>
    <w:rsid w:val="007A3B3A"/>
    <w:rsid w:val="007B3F72"/>
    <w:rsid w:val="007C00D8"/>
    <w:rsid w:val="007C1E24"/>
    <w:rsid w:val="007C5C03"/>
    <w:rsid w:val="007D2CBC"/>
    <w:rsid w:val="007D4DD3"/>
    <w:rsid w:val="007E3A3D"/>
    <w:rsid w:val="007F7338"/>
    <w:rsid w:val="008008AA"/>
    <w:rsid w:val="0080444D"/>
    <w:rsid w:val="00810160"/>
    <w:rsid w:val="00834E60"/>
    <w:rsid w:val="00836338"/>
    <w:rsid w:val="00843172"/>
    <w:rsid w:val="008632E6"/>
    <w:rsid w:val="0086577B"/>
    <w:rsid w:val="00870BC2"/>
    <w:rsid w:val="00872FF3"/>
    <w:rsid w:val="0088606B"/>
    <w:rsid w:val="0089069E"/>
    <w:rsid w:val="00891559"/>
    <w:rsid w:val="008A464E"/>
    <w:rsid w:val="008A6259"/>
    <w:rsid w:val="008B7D00"/>
    <w:rsid w:val="008C4D58"/>
    <w:rsid w:val="008D0651"/>
    <w:rsid w:val="008D273A"/>
    <w:rsid w:val="008F6D35"/>
    <w:rsid w:val="0090165D"/>
    <w:rsid w:val="00901D71"/>
    <w:rsid w:val="00911224"/>
    <w:rsid w:val="00912677"/>
    <w:rsid w:val="00912DBE"/>
    <w:rsid w:val="00915594"/>
    <w:rsid w:val="0093355C"/>
    <w:rsid w:val="00942EB6"/>
    <w:rsid w:val="00951918"/>
    <w:rsid w:val="009547A0"/>
    <w:rsid w:val="00963031"/>
    <w:rsid w:val="009637A3"/>
    <w:rsid w:val="00974872"/>
    <w:rsid w:val="009915AC"/>
    <w:rsid w:val="009A51BD"/>
    <w:rsid w:val="009B5F36"/>
    <w:rsid w:val="009B6215"/>
    <w:rsid w:val="009D080D"/>
    <w:rsid w:val="009D3015"/>
    <w:rsid w:val="009E337C"/>
    <w:rsid w:val="009E53B3"/>
    <w:rsid w:val="009E7242"/>
    <w:rsid w:val="009F7555"/>
    <w:rsid w:val="00A16B13"/>
    <w:rsid w:val="00A26ED3"/>
    <w:rsid w:val="00A43EB2"/>
    <w:rsid w:val="00A513E1"/>
    <w:rsid w:val="00A61452"/>
    <w:rsid w:val="00A61739"/>
    <w:rsid w:val="00A6701B"/>
    <w:rsid w:val="00A77AEF"/>
    <w:rsid w:val="00A83F86"/>
    <w:rsid w:val="00A84503"/>
    <w:rsid w:val="00A8513D"/>
    <w:rsid w:val="00A85310"/>
    <w:rsid w:val="00A8584A"/>
    <w:rsid w:val="00A87569"/>
    <w:rsid w:val="00A87DC3"/>
    <w:rsid w:val="00A97D82"/>
    <w:rsid w:val="00AB3CB9"/>
    <w:rsid w:val="00AC3185"/>
    <w:rsid w:val="00AD2468"/>
    <w:rsid w:val="00AD3F9C"/>
    <w:rsid w:val="00AE4699"/>
    <w:rsid w:val="00B018E1"/>
    <w:rsid w:val="00B1263B"/>
    <w:rsid w:val="00B16D9B"/>
    <w:rsid w:val="00B17096"/>
    <w:rsid w:val="00B208AD"/>
    <w:rsid w:val="00B4020A"/>
    <w:rsid w:val="00B54500"/>
    <w:rsid w:val="00B65D86"/>
    <w:rsid w:val="00B66140"/>
    <w:rsid w:val="00BA345B"/>
    <w:rsid w:val="00BA7384"/>
    <w:rsid w:val="00BB4C2C"/>
    <w:rsid w:val="00BD101F"/>
    <w:rsid w:val="00BF109D"/>
    <w:rsid w:val="00BF14E8"/>
    <w:rsid w:val="00BF22D3"/>
    <w:rsid w:val="00C21544"/>
    <w:rsid w:val="00C35366"/>
    <w:rsid w:val="00C5171A"/>
    <w:rsid w:val="00C62B14"/>
    <w:rsid w:val="00C911D1"/>
    <w:rsid w:val="00C92E3F"/>
    <w:rsid w:val="00C93380"/>
    <w:rsid w:val="00C94CBD"/>
    <w:rsid w:val="00CA071E"/>
    <w:rsid w:val="00CA11DD"/>
    <w:rsid w:val="00CB060A"/>
    <w:rsid w:val="00CB1419"/>
    <w:rsid w:val="00CB19C4"/>
    <w:rsid w:val="00CC40EC"/>
    <w:rsid w:val="00CD0966"/>
    <w:rsid w:val="00CD6162"/>
    <w:rsid w:val="00CE048A"/>
    <w:rsid w:val="00CF226A"/>
    <w:rsid w:val="00CF4D21"/>
    <w:rsid w:val="00CF606A"/>
    <w:rsid w:val="00CF763B"/>
    <w:rsid w:val="00D00075"/>
    <w:rsid w:val="00D05744"/>
    <w:rsid w:val="00D2146E"/>
    <w:rsid w:val="00D21BB9"/>
    <w:rsid w:val="00D21F66"/>
    <w:rsid w:val="00D225FD"/>
    <w:rsid w:val="00D27628"/>
    <w:rsid w:val="00D41EB2"/>
    <w:rsid w:val="00D4555E"/>
    <w:rsid w:val="00D564CC"/>
    <w:rsid w:val="00D6296A"/>
    <w:rsid w:val="00D84741"/>
    <w:rsid w:val="00DA228E"/>
    <w:rsid w:val="00DA41FC"/>
    <w:rsid w:val="00DA65EA"/>
    <w:rsid w:val="00DA6F63"/>
    <w:rsid w:val="00DB39FA"/>
    <w:rsid w:val="00DB5E4A"/>
    <w:rsid w:val="00DC0262"/>
    <w:rsid w:val="00DC1F70"/>
    <w:rsid w:val="00DC2156"/>
    <w:rsid w:val="00DD275E"/>
    <w:rsid w:val="00DD4206"/>
    <w:rsid w:val="00DD7460"/>
    <w:rsid w:val="00DE1241"/>
    <w:rsid w:val="00E1312B"/>
    <w:rsid w:val="00E14489"/>
    <w:rsid w:val="00E14657"/>
    <w:rsid w:val="00E1666C"/>
    <w:rsid w:val="00E215A7"/>
    <w:rsid w:val="00E21677"/>
    <w:rsid w:val="00E236BF"/>
    <w:rsid w:val="00E24427"/>
    <w:rsid w:val="00E333C6"/>
    <w:rsid w:val="00E45047"/>
    <w:rsid w:val="00E50DA1"/>
    <w:rsid w:val="00E51BA3"/>
    <w:rsid w:val="00E60B22"/>
    <w:rsid w:val="00E73457"/>
    <w:rsid w:val="00E75B98"/>
    <w:rsid w:val="00EA0183"/>
    <w:rsid w:val="00EA22F1"/>
    <w:rsid w:val="00EA4828"/>
    <w:rsid w:val="00EB7039"/>
    <w:rsid w:val="00EC076F"/>
    <w:rsid w:val="00EC3DDB"/>
    <w:rsid w:val="00EE1B7E"/>
    <w:rsid w:val="00EF2C6B"/>
    <w:rsid w:val="00EF5655"/>
    <w:rsid w:val="00F03D04"/>
    <w:rsid w:val="00F12627"/>
    <w:rsid w:val="00F17148"/>
    <w:rsid w:val="00F33EBC"/>
    <w:rsid w:val="00F37E1C"/>
    <w:rsid w:val="00F42390"/>
    <w:rsid w:val="00F45DD5"/>
    <w:rsid w:val="00F609C4"/>
    <w:rsid w:val="00F63A46"/>
    <w:rsid w:val="00F63D69"/>
    <w:rsid w:val="00F66BD4"/>
    <w:rsid w:val="00F734B2"/>
    <w:rsid w:val="00F84EE4"/>
    <w:rsid w:val="00F84F13"/>
    <w:rsid w:val="00F95E96"/>
    <w:rsid w:val="00FA2145"/>
    <w:rsid w:val="00FA5970"/>
    <w:rsid w:val="00FB5008"/>
    <w:rsid w:val="00FB5917"/>
    <w:rsid w:val="00FD7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01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183"/>
    <w:rPr>
      <w:sz w:val="20"/>
      <w:szCs w:val="20"/>
    </w:rPr>
  </w:style>
  <w:style w:type="character" w:styleId="FootnoteReference">
    <w:name w:val="footnote reference"/>
    <w:basedOn w:val="DefaultParagraphFont"/>
    <w:uiPriority w:val="99"/>
    <w:semiHidden/>
    <w:unhideWhenUsed/>
    <w:rsid w:val="00EA0183"/>
    <w:rPr>
      <w:vertAlign w:val="superscript"/>
    </w:rPr>
  </w:style>
  <w:style w:type="character" w:styleId="Hyperlink">
    <w:name w:val="Hyperlink"/>
    <w:basedOn w:val="DefaultParagraphFont"/>
    <w:uiPriority w:val="99"/>
    <w:unhideWhenUsed/>
    <w:rsid w:val="00EA0183"/>
    <w:rPr>
      <w:color w:val="0000FF" w:themeColor="hyperlink"/>
      <w:u w:val="single"/>
    </w:rPr>
  </w:style>
  <w:style w:type="paragraph" w:styleId="Header">
    <w:name w:val="header"/>
    <w:basedOn w:val="Normal"/>
    <w:link w:val="HeaderChar"/>
    <w:uiPriority w:val="99"/>
    <w:unhideWhenUsed/>
    <w:rsid w:val="005D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4B"/>
  </w:style>
  <w:style w:type="paragraph" w:styleId="Footer">
    <w:name w:val="footer"/>
    <w:basedOn w:val="Normal"/>
    <w:link w:val="FooterChar"/>
    <w:uiPriority w:val="99"/>
    <w:semiHidden/>
    <w:unhideWhenUsed/>
    <w:rsid w:val="005D38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384B"/>
  </w:style>
  <w:style w:type="paragraph" w:styleId="BalloonText">
    <w:name w:val="Balloon Text"/>
    <w:basedOn w:val="Normal"/>
    <w:link w:val="BalloonTextChar"/>
    <w:uiPriority w:val="99"/>
    <w:semiHidden/>
    <w:unhideWhenUsed/>
    <w:rsid w:val="005D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84B"/>
    <w:rPr>
      <w:rFonts w:ascii="Tahoma" w:hAnsi="Tahoma" w:cs="Tahoma"/>
      <w:sz w:val="16"/>
      <w:szCs w:val="16"/>
    </w:rPr>
  </w:style>
  <w:style w:type="table" w:styleId="TableGrid">
    <w:name w:val="Table Grid"/>
    <w:basedOn w:val="TableNormal"/>
    <w:uiPriority w:val="59"/>
    <w:rsid w:val="00AC3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1">
    <w:name w:val="Medium List 11"/>
    <w:basedOn w:val="TableNormal"/>
    <w:uiPriority w:val="65"/>
    <w:rsid w:val="00AC318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Caption">
    <w:name w:val="caption"/>
    <w:basedOn w:val="Normal"/>
    <w:next w:val="Normal"/>
    <w:uiPriority w:val="35"/>
    <w:unhideWhenUsed/>
    <w:qFormat/>
    <w:rsid w:val="00810160"/>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3C2CC4"/>
    <w:rPr>
      <w:sz w:val="16"/>
      <w:szCs w:val="16"/>
    </w:rPr>
  </w:style>
  <w:style w:type="paragraph" w:styleId="CommentText">
    <w:name w:val="annotation text"/>
    <w:basedOn w:val="Normal"/>
    <w:link w:val="CommentTextChar"/>
    <w:uiPriority w:val="99"/>
    <w:semiHidden/>
    <w:unhideWhenUsed/>
    <w:rsid w:val="003C2CC4"/>
    <w:pPr>
      <w:spacing w:line="240" w:lineRule="auto"/>
    </w:pPr>
    <w:rPr>
      <w:sz w:val="20"/>
      <w:szCs w:val="20"/>
    </w:rPr>
  </w:style>
  <w:style w:type="character" w:customStyle="1" w:styleId="CommentTextChar">
    <w:name w:val="Comment Text Char"/>
    <w:basedOn w:val="DefaultParagraphFont"/>
    <w:link w:val="CommentText"/>
    <w:uiPriority w:val="99"/>
    <w:semiHidden/>
    <w:rsid w:val="003C2CC4"/>
    <w:rPr>
      <w:sz w:val="20"/>
      <w:szCs w:val="20"/>
    </w:rPr>
  </w:style>
  <w:style w:type="paragraph" w:styleId="CommentSubject">
    <w:name w:val="annotation subject"/>
    <w:basedOn w:val="CommentText"/>
    <w:next w:val="CommentText"/>
    <w:link w:val="CommentSubjectChar"/>
    <w:uiPriority w:val="99"/>
    <w:semiHidden/>
    <w:unhideWhenUsed/>
    <w:rsid w:val="003C2CC4"/>
    <w:rPr>
      <w:b/>
      <w:bCs/>
    </w:rPr>
  </w:style>
  <w:style w:type="character" w:customStyle="1" w:styleId="CommentSubjectChar">
    <w:name w:val="Comment Subject Char"/>
    <w:basedOn w:val="CommentTextChar"/>
    <w:link w:val="CommentSubject"/>
    <w:uiPriority w:val="99"/>
    <w:semiHidden/>
    <w:rsid w:val="003C2CC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A01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0183"/>
    <w:rPr>
      <w:sz w:val="20"/>
      <w:szCs w:val="20"/>
    </w:rPr>
  </w:style>
  <w:style w:type="character" w:styleId="FootnoteReference">
    <w:name w:val="footnote reference"/>
    <w:basedOn w:val="DefaultParagraphFont"/>
    <w:uiPriority w:val="99"/>
    <w:semiHidden/>
    <w:unhideWhenUsed/>
    <w:rsid w:val="00EA0183"/>
    <w:rPr>
      <w:vertAlign w:val="superscript"/>
    </w:rPr>
  </w:style>
  <w:style w:type="character" w:styleId="Hyperlink">
    <w:name w:val="Hyperlink"/>
    <w:basedOn w:val="DefaultParagraphFont"/>
    <w:uiPriority w:val="99"/>
    <w:unhideWhenUsed/>
    <w:rsid w:val="00EA0183"/>
    <w:rPr>
      <w:color w:val="0000FF" w:themeColor="hyperlink"/>
      <w:u w:val="single"/>
    </w:rPr>
  </w:style>
  <w:style w:type="paragraph" w:styleId="Header">
    <w:name w:val="header"/>
    <w:basedOn w:val="Normal"/>
    <w:link w:val="HeaderChar"/>
    <w:uiPriority w:val="99"/>
    <w:unhideWhenUsed/>
    <w:rsid w:val="005D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4B"/>
  </w:style>
  <w:style w:type="paragraph" w:styleId="Footer">
    <w:name w:val="footer"/>
    <w:basedOn w:val="Normal"/>
    <w:link w:val="FooterChar"/>
    <w:uiPriority w:val="99"/>
    <w:semiHidden/>
    <w:unhideWhenUsed/>
    <w:rsid w:val="005D38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384B"/>
  </w:style>
  <w:style w:type="paragraph" w:styleId="BalloonText">
    <w:name w:val="Balloon Text"/>
    <w:basedOn w:val="Normal"/>
    <w:link w:val="BalloonTextChar"/>
    <w:uiPriority w:val="99"/>
    <w:semiHidden/>
    <w:unhideWhenUsed/>
    <w:rsid w:val="005D3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84B"/>
    <w:rPr>
      <w:rFonts w:ascii="Tahoma" w:hAnsi="Tahoma" w:cs="Tahoma"/>
      <w:sz w:val="16"/>
      <w:szCs w:val="16"/>
    </w:rPr>
  </w:style>
  <w:style w:type="table" w:styleId="TableGrid">
    <w:name w:val="Table Grid"/>
    <w:basedOn w:val="TableNormal"/>
    <w:uiPriority w:val="59"/>
    <w:rsid w:val="00AC31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11">
    <w:name w:val="Medium List 11"/>
    <w:basedOn w:val="TableNormal"/>
    <w:uiPriority w:val="65"/>
    <w:rsid w:val="00AC318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Caption">
    <w:name w:val="caption"/>
    <w:basedOn w:val="Normal"/>
    <w:next w:val="Normal"/>
    <w:uiPriority w:val="35"/>
    <w:unhideWhenUsed/>
    <w:qFormat/>
    <w:rsid w:val="00810160"/>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3C2CC4"/>
    <w:rPr>
      <w:sz w:val="16"/>
      <w:szCs w:val="16"/>
    </w:rPr>
  </w:style>
  <w:style w:type="paragraph" w:styleId="CommentText">
    <w:name w:val="annotation text"/>
    <w:basedOn w:val="Normal"/>
    <w:link w:val="CommentTextChar"/>
    <w:uiPriority w:val="99"/>
    <w:semiHidden/>
    <w:unhideWhenUsed/>
    <w:rsid w:val="003C2CC4"/>
    <w:pPr>
      <w:spacing w:line="240" w:lineRule="auto"/>
    </w:pPr>
    <w:rPr>
      <w:sz w:val="20"/>
      <w:szCs w:val="20"/>
    </w:rPr>
  </w:style>
  <w:style w:type="character" w:customStyle="1" w:styleId="CommentTextChar">
    <w:name w:val="Comment Text Char"/>
    <w:basedOn w:val="DefaultParagraphFont"/>
    <w:link w:val="CommentText"/>
    <w:uiPriority w:val="99"/>
    <w:semiHidden/>
    <w:rsid w:val="003C2CC4"/>
    <w:rPr>
      <w:sz w:val="20"/>
      <w:szCs w:val="20"/>
    </w:rPr>
  </w:style>
  <w:style w:type="paragraph" w:styleId="CommentSubject">
    <w:name w:val="annotation subject"/>
    <w:basedOn w:val="CommentText"/>
    <w:next w:val="CommentText"/>
    <w:link w:val="CommentSubjectChar"/>
    <w:uiPriority w:val="99"/>
    <w:semiHidden/>
    <w:unhideWhenUsed/>
    <w:rsid w:val="003C2CC4"/>
    <w:rPr>
      <w:b/>
      <w:bCs/>
    </w:rPr>
  </w:style>
  <w:style w:type="character" w:customStyle="1" w:styleId="CommentSubjectChar">
    <w:name w:val="Comment Subject Char"/>
    <w:basedOn w:val="CommentTextChar"/>
    <w:link w:val="CommentSubject"/>
    <w:uiPriority w:val="99"/>
    <w:semiHidden/>
    <w:rsid w:val="003C2C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763332">
      <w:bodyDiv w:val="1"/>
      <w:marLeft w:val="0"/>
      <w:marRight w:val="0"/>
      <w:marTop w:val="0"/>
      <w:marBottom w:val="0"/>
      <w:divBdr>
        <w:top w:val="none" w:sz="0" w:space="0" w:color="auto"/>
        <w:left w:val="none" w:sz="0" w:space="0" w:color="auto"/>
        <w:bottom w:val="none" w:sz="0" w:space="0" w:color="auto"/>
        <w:right w:val="none" w:sz="0" w:space="0" w:color="auto"/>
      </w:divBdr>
    </w:div>
    <w:div w:id="184694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8B95889-DFEF-4E13-A270-19E5B267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5941</Words>
  <Characters>33869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Meaghan</dc:creator>
  <cp:lastModifiedBy>Hiromatsu, Yamato</cp:lastModifiedBy>
  <cp:revision>2</cp:revision>
  <cp:lastPrinted>2013-12-06T00:44:00Z</cp:lastPrinted>
  <dcterms:created xsi:type="dcterms:W3CDTF">2014-03-20T18:02:00Z</dcterms:created>
  <dcterms:modified xsi:type="dcterms:W3CDTF">2014-03-20T18:02:00Z</dcterms:modified>
</cp:coreProperties>
</file>