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0FA" w:rsidRPr="007360FA" w:rsidRDefault="007360FA" w:rsidP="007360FA">
      <w:pPr>
        <w:spacing w:after="240" w:line="240" w:lineRule="auto"/>
        <w:rPr>
          <w:rFonts w:ascii="Times New Roman" w:eastAsia="Times New Roman" w:hAnsi="Times New Roman" w:cs="Times New Roman"/>
          <w:sz w:val="24"/>
          <w:szCs w:val="24"/>
        </w:rPr>
      </w:pPr>
    </w:p>
    <w:p w:rsidR="007360FA" w:rsidRDefault="007360FA" w:rsidP="007360FA">
      <w:pPr>
        <w:spacing w:after="0" w:line="240" w:lineRule="auto"/>
        <w:jc w:val="center"/>
        <w:rPr>
          <w:rFonts w:ascii="Times New Roman" w:eastAsia="Times New Roman" w:hAnsi="Times New Roman" w:cs="Times New Roman"/>
          <w:color w:val="000000"/>
          <w:sz w:val="60"/>
          <w:szCs w:val="60"/>
        </w:rPr>
      </w:pPr>
    </w:p>
    <w:p w:rsidR="007360FA" w:rsidRDefault="007360FA" w:rsidP="007360FA">
      <w:pPr>
        <w:spacing w:after="0" w:line="240" w:lineRule="auto"/>
        <w:jc w:val="center"/>
        <w:rPr>
          <w:rFonts w:ascii="Times New Roman" w:eastAsia="Times New Roman" w:hAnsi="Times New Roman" w:cs="Times New Roman"/>
          <w:color w:val="000000"/>
          <w:sz w:val="60"/>
          <w:szCs w:val="60"/>
        </w:rPr>
      </w:pPr>
    </w:p>
    <w:p w:rsidR="007360FA" w:rsidRDefault="007360FA" w:rsidP="007360FA">
      <w:pPr>
        <w:spacing w:after="0" w:line="240" w:lineRule="auto"/>
        <w:jc w:val="center"/>
        <w:rPr>
          <w:rFonts w:ascii="Times New Roman" w:eastAsia="Times New Roman" w:hAnsi="Times New Roman" w:cs="Times New Roman"/>
          <w:color w:val="000000"/>
          <w:sz w:val="60"/>
          <w:szCs w:val="60"/>
        </w:rPr>
      </w:pPr>
    </w:p>
    <w:p w:rsidR="007360FA" w:rsidRDefault="007360FA" w:rsidP="007360FA">
      <w:pPr>
        <w:spacing w:after="0" w:line="240" w:lineRule="auto"/>
        <w:jc w:val="center"/>
        <w:rPr>
          <w:rFonts w:ascii="Times New Roman" w:eastAsia="Times New Roman" w:hAnsi="Times New Roman" w:cs="Times New Roman"/>
          <w:color w:val="000000"/>
          <w:sz w:val="60"/>
          <w:szCs w:val="60"/>
        </w:rPr>
      </w:pPr>
    </w:p>
    <w:p w:rsidR="007360FA" w:rsidRPr="007360FA" w:rsidRDefault="007360FA" w:rsidP="007360FA">
      <w:pPr>
        <w:spacing w:after="0" w:line="240" w:lineRule="auto"/>
        <w:jc w:val="center"/>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60"/>
          <w:szCs w:val="60"/>
        </w:rPr>
        <w:t>Community Land Trusts:</w:t>
      </w:r>
    </w:p>
    <w:p w:rsidR="007360FA" w:rsidRPr="007360FA" w:rsidRDefault="007360FA" w:rsidP="007360FA">
      <w:pPr>
        <w:spacing w:after="0" w:line="240" w:lineRule="auto"/>
        <w:jc w:val="center"/>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48"/>
          <w:szCs w:val="48"/>
        </w:rPr>
        <w:t>A Help or Hindrance to Community Development in the United States</w:t>
      </w:r>
    </w:p>
    <w:p w:rsidR="007360FA" w:rsidRDefault="007360FA" w:rsidP="007360FA">
      <w:pPr>
        <w:spacing w:after="24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sz w:val="24"/>
          <w:szCs w:val="24"/>
        </w:rPr>
        <w:br/>
      </w:r>
      <w:r w:rsidRPr="007360FA">
        <w:rPr>
          <w:rFonts w:ascii="Times New Roman" w:eastAsia="Times New Roman" w:hAnsi="Times New Roman" w:cs="Times New Roman"/>
          <w:sz w:val="24"/>
          <w:szCs w:val="24"/>
        </w:rPr>
        <w:br/>
      </w:r>
      <w:r w:rsidRPr="007360FA">
        <w:rPr>
          <w:rFonts w:ascii="Times New Roman" w:eastAsia="Times New Roman" w:hAnsi="Times New Roman" w:cs="Times New Roman"/>
          <w:sz w:val="24"/>
          <w:szCs w:val="24"/>
        </w:rPr>
        <w:br/>
      </w:r>
      <w:r w:rsidRPr="007360FA">
        <w:rPr>
          <w:rFonts w:ascii="Times New Roman" w:eastAsia="Times New Roman" w:hAnsi="Times New Roman" w:cs="Times New Roman"/>
          <w:sz w:val="24"/>
          <w:szCs w:val="24"/>
        </w:rPr>
        <w:br/>
      </w:r>
    </w:p>
    <w:p w:rsidR="007360FA" w:rsidRDefault="007360FA" w:rsidP="007360FA">
      <w:pPr>
        <w:spacing w:after="240" w:line="240" w:lineRule="auto"/>
        <w:rPr>
          <w:rFonts w:ascii="Times New Roman" w:eastAsia="Times New Roman" w:hAnsi="Times New Roman" w:cs="Times New Roman"/>
          <w:sz w:val="24"/>
          <w:szCs w:val="24"/>
        </w:rPr>
      </w:pPr>
    </w:p>
    <w:p w:rsidR="007360FA" w:rsidRDefault="007360FA" w:rsidP="007360FA">
      <w:pPr>
        <w:spacing w:after="240" w:line="240" w:lineRule="auto"/>
        <w:rPr>
          <w:rFonts w:ascii="Times New Roman" w:eastAsia="Times New Roman" w:hAnsi="Times New Roman" w:cs="Times New Roman"/>
          <w:sz w:val="24"/>
          <w:szCs w:val="24"/>
        </w:rPr>
      </w:pPr>
    </w:p>
    <w:p w:rsidR="007360FA" w:rsidRDefault="007360FA" w:rsidP="007360FA">
      <w:pPr>
        <w:spacing w:after="240" w:line="240" w:lineRule="auto"/>
        <w:rPr>
          <w:rFonts w:ascii="Times New Roman" w:eastAsia="Times New Roman" w:hAnsi="Times New Roman" w:cs="Times New Roman"/>
          <w:sz w:val="24"/>
          <w:szCs w:val="24"/>
        </w:rPr>
      </w:pPr>
    </w:p>
    <w:p w:rsidR="007360FA" w:rsidRPr="007360FA" w:rsidRDefault="007360FA" w:rsidP="007360FA">
      <w:pPr>
        <w:spacing w:after="240" w:line="240" w:lineRule="auto"/>
        <w:rPr>
          <w:rFonts w:ascii="Times New Roman" w:eastAsia="Times New Roman" w:hAnsi="Times New Roman" w:cs="Times New Roman"/>
          <w:sz w:val="24"/>
          <w:szCs w:val="24"/>
        </w:rPr>
      </w:pPr>
    </w:p>
    <w:p w:rsidR="007360FA" w:rsidRPr="007360FA" w:rsidRDefault="007360FA" w:rsidP="007360FA">
      <w:pPr>
        <w:spacing w:after="0" w:line="240" w:lineRule="auto"/>
        <w:jc w:val="center"/>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48"/>
          <w:szCs w:val="48"/>
        </w:rPr>
        <w:t xml:space="preserve">Andrew </w:t>
      </w:r>
      <w:proofErr w:type="spellStart"/>
      <w:r w:rsidRPr="007360FA">
        <w:rPr>
          <w:rFonts w:ascii="Times New Roman" w:eastAsia="Times New Roman" w:hAnsi="Times New Roman" w:cs="Times New Roman"/>
          <w:color w:val="000000"/>
          <w:sz w:val="48"/>
          <w:szCs w:val="48"/>
        </w:rPr>
        <w:t>Kuka</w:t>
      </w:r>
      <w:proofErr w:type="spellEnd"/>
    </w:p>
    <w:p w:rsidR="007360FA" w:rsidRPr="007360FA" w:rsidRDefault="007360FA" w:rsidP="007360FA">
      <w:pPr>
        <w:spacing w:after="0" w:line="240" w:lineRule="auto"/>
        <w:jc w:val="center"/>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48"/>
          <w:szCs w:val="48"/>
        </w:rPr>
        <w:t>Seminar in Community Development</w:t>
      </w:r>
    </w:p>
    <w:p w:rsidR="007360FA" w:rsidRPr="007360FA" w:rsidRDefault="007360FA" w:rsidP="007360FA">
      <w:pPr>
        <w:spacing w:after="0" w:line="240" w:lineRule="auto"/>
        <w:jc w:val="center"/>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48"/>
          <w:szCs w:val="48"/>
        </w:rPr>
        <w:t>Illinois State University</w:t>
      </w:r>
    </w:p>
    <w:p w:rsidR="007360FA" w:rsidRDefault="007360FA" w:rsidP="007360FA">
      <w:pPr>
        <w:spacing w:after="0" w:line="240" w:lineRule="auto"/>
        <w:jc w:val="center"/>
        <w:rPr>
          <w:rFonts w:ascii="Times New Roman" w:eastAsia="Times New Roman" w:hAnsi="Times New Roman" w:cs="Times New Roman"/>
          <w:color w:val="000000"/>
          <w:sz w:val="48"/>
          <w:szCs w:val="48"/>
        </w:rPr>
      </w:pPr>
      <w:r w:rsidRPr="007360FA">
        <w:rPr>
          <w:rFonts w:ascii="Times New Roman" w:eastAsia="Times New Roman" w:hAnsi="Times New Roman" w:cs="Times New Roman"/>
          <w:color w:val="000000"/>
          <w:sz w:val="48"/>
          <w:szCs w:val="48"/>
        </w:rPr>
        <w:t>12/11/2015</w:t>
      </w:r>
    </w:p>
    <w:p w:rsidR="007360FA" w:rsidRPr="007360FA" w:rsidRDefault="007360FA" w:rsidP="007360FA">
      <w:pPr>
        <w:rPr>
          <w:rFonts w:ascii="Times New Roman" w:eastAsia="Times New Roman" w:hAnsi="Times New Roman" w:cs="Times New Roman"/>
          <w:color w:val="000000"/>
          <w:sz w:val="48"/>
          <w:szCs w:val="48"/>
        </w:rPr>
      </w:pPr>
      <w:r>
        <w:rPr>
          <w:rFonts w:ascii="Times New Roman" w:eastAsia="Times New Roman" w:hAnsi="Times New Roman" w:cs="Times New Roman"/>
          <w:color w:val="000000"/>
          <w:sz w:val="48"/>
          <w:szCs w:val="48"/>
        </w:rPr>
        <w:br w:type="page"/>
      </w:r>
    </w:p>
    <w:p w:rsidR="007360FA" w:rsidRPr="007360FA" w:rsidRDefault="007360FA" w:rsidP="007360FA">
      <w:pPr>
        <w:spacing w:after="200" w:line="240" w:lineRule="auto"/>
        <w:jc w:val="center"/>
        <w:rPr>
          <w:rFonts w:ascii="Times New Roman" w:eastAsia="Times New Roman" w:hAnsi="Times New Roman" w:cs="Times New Roman"/>
          <w:sz w:val="24"/>
          <w:szCs w:val="24"/>
        </w:rPr>
      </w:pPr>
      <w:r w:rsidRPr="007360FA">
        <w:rPr>
          <w:rFonts w:ascii="Times New Roman" w:eastAsia="Times New Roman" w:hAnsi="Times New Roman" w:cs="Times New Roman"/>
          <w:b/>
          <w:bCs/>
          <w:color w:val="000000"/>
          <w:sz w:val="24"/>
          <w:szCs w:val="24"/>
        </w:rPr>
        <w:lastRenderedPageBreak/>
        <w:t>Abstract</w:t>
      </w:r>
    </w:p>
    <w:p w:rsidR="007360FA" w:rsidRDefault="007360FA" w:rsidP="007360FA">
      <w:pPr>
        <w:spacing w:after="200" w:line="240" w:lineRule="auto"/>
        <w:ind w:firstLine="720"/>
        <w:rPr>
          <w:rFonts w:ascii="Times New Roman" w:eastAsia="Times New Roman" w:hAnsi="Times New Roman" w:cs="Times New Roman"/>
          <w:color w:val="000000"/>
          <w:sz w:val="24"/>
          <w:szCs w:val="24"/>
        </w:rPr>
      </w:pPr>
      <w:r w:rsidRPr="007360FA">
        <w:rPr>
          <w:rFonts w:ascii="Times New Roman" w:eastAsia="Times New Roman" w:hAnsi="Times New Roman" w:cs="Times New Roman"/>
          <w:color w:val="000000"/>
          <w:sz w:val="24"/>
          <w:szCs w:val="24"/>
        </w:rPr>
        <w:t>The availability of affordable housing in the United States continues to be an issue for Americans who are on the brink of homelessness, rely on housing subsidies, or struggle to pay their mortgages or rents. These issues, as well as the gentrification threat that community development poses to low-income residents can have deleterious effects on democratic participation and community development efforts. One proposed solution to these problems is the implementation of more community land trust programs nationally. This paper will assess the practicality of CLTs, and what such an implementation would mean for individuals, government entities, community members, and community development efforts.</w:t>
      </w:r>
    </w:p>
    <w:p w:rsidR="007360FA" w:rsidRPr="007360FA" w:rsidRDefault="007360FA" w:rsidP="007360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7360FA" w:rsidRPr="007360FA" w:rsidRDefault="007360FA" w:rsidP="007360FA">
      <w:pPr>
        <w:spacing w:after="200" w:line="240" w:lineRule="auto"/>
        <w:jc w:val="center"/>
        <w:rPr>
          <w:rFonts w:ascii="Times New Roman" w:eastAsia="Times New Roman" w:hAnsi="Times New Roman" w:cs="Times New Roman"/>
          <w:sz w:val="24"/>
          <w:szCs w:val="24"/>
        </w:rPr>
      </w:pPr>
      <w:r w:rsidRPr="007360FA">
        <w:rPr>
          <w:rFonts w:ascii="Times New Roman" w:eastAsia="Times New Roman" w:hAnsi="Times New Roman" w:cs="Times New Roman"/>
          <w:b/>
          <w:bCs/>
          <w:color w:val="000000"/>
          <w:sz w:val="24"/>
          <w:szCs w:val="24"/>
        </w:rPr>
        <w:lastRenderedPageBreak/>
        <w:t>Introduction</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b/>
          <w:bCs/>
          <w:color w:val="000000"/>
          <w:sz w:val="24"/>
          <w:szCs w:val="24"/>
        </w:rPr>
        <w:tab/>
      </w:r>
      <w:r w:rsidRPr="007360FA">
        <w:rPr>
          <w:rFonts w:ascii="Times New Roman" w:eastAsia="Times New Roman" w:hAnsi="Times New Roman" w:cs="Times New Roman"/>
          <w:color w:val="000000"/>
          <w:sz w:val="24"/>
          <w:szCs w:val="24"/>
        </w:rPr>
        <w:t>The current housing market, as well as the conceptualization of housing as a commodity in the United States is exploitative and damaging to both low-income citizens and society as a whole. Under such a housing system, community development tends to push low-income residents out of their communities through a process known as gentrification. In the following paper I will outline the problems which perpetuate the affordable housing crisis in the United States, and consider an alternative approach to affordable housing through the implementation of community land trusts (CLTs).</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b/>
          <w:bCs/>
          <w:color w:val="000000"/>
          <w:sz w:val="24"/>
          <w:szCs w:val="24"/>
        </w:rPr>
        <w:t>What is the Problem?</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b/>
          <w:bCs/>
          <w:color w:val="000000"/>
          <w:sz w:val="24"/>
          <w:szCs w:val="24"/>
        </w:rPr>
        <w:tab/>
      </w:r>
      <w:r w:rsidRPr="007360FA">
        <w:rPr>
          <w:rFonts w:ascii="Times New Roman" w:eastAsia="Times New Roman" w:hAnsi="Times New Roman" w:cs="Times New Roman"/>
          <w:color w:val="000000"/>
          <w:sz w:val="24"/>
          <w:szCs w:val="24"/>
        </w:rPr>
        <w:t>Between 1984 and 2014 the average cost of living in the United States has increased by over 83%. If we look only at the cost of shelter, that alone has increased over 113% (Bureau of Labor Statistics). This would not be so alarming if incomes kept pace with the increasing costs. But, between 1984 and 2014 the median income for U.S. households has increased by just over 13% controlling for inflation (U.S. Census Bureau). These trends suggest that it is becoming increasin</w:t>
      </w:r>
      <w:r>
        <w:rPr>
          <w:rFonts w:ascii="Times New Roman" w:eastAsia="Times New Roman" w:hAnsi="Times New Roman" w:cs="Times New Roman"/>
          <w:color w:val="000000"/>
          <w:sz w:val="24"/>
          <w:szCs w:val="24"/>
        </w:rPr>
        <w:t xml:space="preserve">gly difficult for Americans to </w:t>
      </w:r>
      <w:r w:rsidRPr="007360FA">
        <w:rPr>
          <w:rFonts w:ascii="Times New Roman" w:eastAsia="Times New Roman" w:hAnsi="Times New Roman" w:cs="Times New Roman"/>
          <w:color w:val="000000"/>
          <w:sz w:val="24"/>
          <w:szCs w:val="24"/>
        </w:rPr>
        <w:t xml:space="preserve">make enough money to meet their needs, and the cost of housing plays a significant role in that disparity. </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ab/>
        <w:t xml:space="preserve">According to the Department of Housing and Urban Development, “a household should pay no more than 30 percent of its annual income on housing.”(United States Department of Housing and Urban Development no date). Nonetheless, in 2006, 39 million households paid more than 30% of their income for their housing. Of this number, almost 17 million paid more than 50 percent of their income to cover housing expenses (Joint Center </w:t>
      </w:r>
      <w:proofErr w:type="gramStart"/>
      <w:r w:rsidRPr="007360FA">
        <w:rPr>
          <w:rFonts w:ascii="Times New Roman" w:eastAsia="Times New Roman" w:hAnsi="Times New Roman" w:cs="Times New Roman"/>
          <w:color w:val="000000"/>
          <w:sz w:val="24"/>
          <w:szCs w:val="24"/>
        </w:rPr>
        <w:t>For</w:t>
      </w:r>
      <w:proofErr w:type="gramEnd"/>
      <w:r w:rsidRPr="007360FA">
        <w:rPr>
          <w:rFonts w:ascii="Times New Roman" w:eastAsia="Times New Roman" w:hAnsi="Times New Roman" w:cs="Times New Roman"/>
          <w:color w:val="000000"/>
          <w:sz w:val="24"/>
          <w:szCs w:val="24"/>
        </w:rPr>
        <w:t xml:space="preserve"> Housing Studies of Harvard University [JCHSHU] 2008). Eight years later, The Bureau of Labor Statistics (2014, 3) found that the average share of income devoted to housing was over 30% for every type of household composition (married/with children/one parent/single/etc.). </w:t>
      </w:r>
    </w:p>
    <w:p w:rsidR="007360FA" w:rsidRPr="007360FA" w:rsidRDefault="007360FA" w:rsidP="007360FA">
      <w:pPr>
        <w:spacing w:after="200" w:line="240" w:lineRule="auto"/>
        <w:ind w:firstLine="72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Such a high proportion of a family income devoted to housing undermines a family’s capacity to pay for food, medical care, and other necessities. The low-income households with children that paid more than 30% of their limited income on housing, have an average of $257 a month left over for food, $29 for clothing, and $9 for healthcare (JCHSHU 2008). The increasing cost of housing has far reaching impacts on families: Whether a family can afford to live in a safe community with a good education system; the livability of their homes; how far one is forced to live from their work, and how much one has to spend on travel costs; as well as how much money is leftover to pay for other needs, are all consequences of housing costs. As this pertains to community development: We cannot realistically expect community members to be democratically involved in the community, and contribute to a bottom-up development approach when they are in a continuous struggle for their own survival. A solution to the affordable housing problem is needed to improve the economic situation of all community members, as well as to help garner more civic participation.</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b/>
          <w:bCs/>
          <w:color w:val="000000"/>
          <w:sz w:val="24"/>
          <w:szCs w:val="24"/>
        </w:rPr>
        <w:t>Why is there a Problem?</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ab/>
        <w:t>The rising cost of housing is the result of a number of factors working together, including: the rising mortgage interest rates; community improvements leading to higher land values and taxation; and increasing construction costs (</w:t>
      </w:r>
      <w:proofErr w:type="spellStart"/>
      <w:r w:rsidRPr="007360FA">
        <w:rPr>
          <w:rFonts w:ascii="Times New Roman" w:eastAsia="Times New Roman" w:hAnsi="Times New Roman" w:cs="Times New Roman"/>
          <w:color w:val="000000"/>
          <w:sz w:val="24"/>
          <w:szCs w:val="24"/>
        </w:rPr>
        <w:t>Conaty</w:t>
      </w:r>
      <w:proofErr w:type="spellEnd"/>
      <w:r w:rsidRPr="007360FA">
        <w:rPr>
          <w:rFonts w:ascii="Times New Roman" w:eastAsia="Times New Roman" w:hAnsi="Times New Roman" w:cs="Times New Roman"/>
          <w:color w:val="000000"/>
          <w:sz w:val="24"/>
          <w:szCs w:val="24"/>
        </w:rPr>
        <w:t xml:space="preserve">, and Lewis 2014). Each of these </w:t>
      </w:r>
      <w:r w:rsidRPr="007360FA">
        <w:rPr>
          <w:rFonts w:ascii="Times New Roman" w:eastAsia="Times New Roman" w:hAnsi="Times New Roman" w:cs="Times New Roman"/>
          <w:color w:val="000000"/>
          <w:sz w:val="24"/>
          <w:szCs w:val="24"/>
        </w:rPr>
        <w:lastRenderedPageBreak/>
        <w:t xml:space="preserve">factors are linked to the current political economy which conceptualizes housing as a commodity to be traded and profited from. This conceptualization of need as a commodity is not unique to housing. It is also expressed in food sales, the provision of water through utilities, education, and medical care. </w:t>
      </w:r>
    </w:p>
    <w:p w:rsidR="007360FA" w:rsidRPr="007360FA" w:rsidRDefault="007360FA" w:rsidP="007360FA">
      <w:pPr>
        <w:spacing w:after="200" w:line="240" w:lineRule="auto"/>
        <w:ind w:firstLine="72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The primary difference between housing and other commodified needs is the desire, as well as the ability, of each subsequent seller of a property to profit without contributing any real investment to the property themselves. Each time a property is sold, the seller has the potential to gain windfall profits from the increased value of land because of community developments, or the increased demand for housing, since the time of purchase. The only commodities that are remotely similar to housing in this respect are historical artifacts, antiques, and collectibles that increase in value with each passing year because of their increasing rarity and age (if kept in good order). The widespread conception of housing as a commodified investment undercuts the viability of affordable housing in a free market system by allowing landowners to continually profit off of community improvements and the universal, unnegotiable necessity of shelter.</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b/>
          <w:bCs/>
          <w:color w:val="000000"/>
          <w:sz w:val="24"/>
          <w:szCs w:val="24"/>
        </w:rPr>
        <w:t>How are We Solving the Problem?</w:t>
      </w:r>
    </w:p>
    <w:p w:rsidR="007360FA" w:rsidRPr="007360FA" w:rsidRDefault="007360FA" w:rsidP="007360FA">
      <w:pPr>
        <w:spacing w:after="200" w:line="240" w:lineRule="auto"/>
        <w:rPr>
          <w:rFonts w:ascii="Times New Roman" w:eastAsia="Times New Roman" w:hAnsi="Times New Roman" w:cs="Times New Roman"/>
          <w:sz w:val="24"/>
          <w:szCs w:val="24"/>
        </w:rPr>
      </w:pPr>
      <w:proofErr w:type="spellStart"/>
      <w:r w:rsidRPr="007360FA">
        <w:rPr>
          <w:rFonts w:ascii="Times New Roman" w:eastAsia="Times New Roman" w:hAnsi="Times New Roman" w:cs="Times New Roman"/>
          <w:color w:val="000000"/>
          <w:sz w:val="24"/>
          <w:szCs w:val="24"/>
          <w:u w:val="single"/>
        </w:rPr>
        <w:t>Homerenter</w:t>
      </w:r>
      <w:proofErr w:type="spellEnd"/>
      <w:r w:rsidRPr="007360FA">
        <w:rPr>
          <w:rFonts w:ascii="Times New Roman" w:eastAsia="Times New Roman" w:hAnsi="Times New Roman" w:cs="Times New Roman"/>
          <w:color w:val="000000"/>
          <w:sz w:val="24"/>
          <w:szCs w:val="24"/>
          <w:u w:val="single"/>
        </w:rPr>
        <w:t xml:space="preserve"> Subsidies</w:t>
      </w:r>
      <w:r w:rsidRPr="007360FA">
        <w:rPr>
          <w:rFonts w:ascii="Times New Roman" w:eastAsia="Times New Roman" w:hAnsi="Times New Roman" w:cs="Times New Roman"/>
          <w:color w:val="000000"/>
          <w:sz w:val="24"/>
          <w:szCs w:val="24"/>
        </w:rPr>
        <w:t>. The United States’ affordable housing problem is not necessarily being solved, but adapted to. More Americans are renting rather than purchasing homes, contributing to rising rental demand and prices (</w:t>
      </w:r>
      <w:proofErr w:type="spellStart"/>
      <w:r w:rsidRPr="007360FA">
        <w:rPr>
          <w:rFonts w:ascii="Times New Roman" w:eastAsia="Times New Roman" w:hAnsi="Times New Roman" w:cs="Times New Roman"/>
          <w:color w:val="000000"/>
          <w:sz w:val="24"/>
          <w:szCs w:val="24"/>
        </w:rPr>
        <w:t>Towey</w:t>
      </w:r>
      <w:proofErr w:type="spellEnd"/>
      <w:r w:rsidRPr="007360FA">
        <w:rPr>
          <w:rFonts w:ascii="Times New Roman" w:eastAsia="Times New Roman" w:hAnsi="Times New Roman" w:cs="Times New Roman"/>
          <w:color w:val="000000"/>
          <w:sz w:val="24"/>
          <w:szCs w:val="24"/>
        </w:rPr>
        <w:t xml:space="preserve"> 2009). Additionally, the federal and state government is subsidizing both low-income rental units and home purchases. Rental subsidy vouchers are either paid to the renter or the property owner. The vouchers usually cover either the full cost of the market price of the rental, or the difference between 30% of the renter’s annual income and the market value of the rental. When paid directly to the property owner, the landlord must set aside a decided number housing units that can only be rented by low-income tenants. Whether the money is coming from the individual, or the government, the property owner is still being paid at market-rate (</w:t>
      </w:r>
      <w:proofErr w:type="spellStart"/>
      <w:r w:rsidRPr="007360FA">
        <w:rPr>
          <w:rFonts w:ascii="Times New Roman" w:eastAsia="Times New Roman" w:hAnsi="Times New Roman" w:cs="Times New Roman"/>
          <w:color w:val="000000"/>
          <w:sz w:val="24"/>
          <w:szCs w:val="24"/>
        </w:rPr>
        <w:t>Towey</w:t>
      </w:r>
      <w:proofErr w:type="spellEnd"/>
      <w:r w:rsidRPr="007360FA">
        <w:rPr>
          <w:rFonts w:ascii="Times New Roman" w:eastAsia="Times New Roman" w:hAnsi="Times New Roman" w:cs="Times New Roman"/>
          <w:color w:val="000000"/>
          <w:sz w:val="24"/>
          <w:szCs w:val="24"/>
        </w:rPr>
        <w:t xml:space="preserve"> 2009). </w:t>
      </w:r>
    </w:p>
    <w:p w:rsidR="007360FA" w:rsidRPr="007360FA" w:rsidRDefault="007360FA" w:rsidP="007360FA">
      <w:pPr>
        <w:spacing w:after="200" w:line="240" w:lineRule="auto"/>
        <w:ind w:firstLine="72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Sometimes the construction of new housing developments are heavily subsidized under the conditions that they will provide new low-income housing units, only to opt-out when the contract expires (</w:t>
      </w:r>
      <w:proofErr w:type="spellStart"/>
      <w:r w:rsidRPr="007360FA">
        <w:rPr>
          <w:rFonts w:ascii="Times New Roman" w:eastAsia="Times New Roman" w:hAnsi="Times New Roman" w:cs="Times New Roman"/>
          <w:color w:val="000000"/>
          <w:sz w:val="24"/>
          <w:szCs w:val="24"/>
        </w:rPr>
        <w:t>Bagdol</w:t>
      </w:r>
      <w:proofErr w:type="spellEnd"/>
      <w:r w:rsidRPr="007360FA">
        <w:rPr>
          <w:rFonts w:ascii="Times New Roman" w:eastAsia="Times New Roman" w:hAnsi="Times New Roman" w:cs="Times New Roman"/>
          <w:color w:val="000000"/>
          <w:sz w:val="24"/>
          <w:szCs w:val="24"/>
        </w:rPr>
        <w:t xml:space="preserve"> 2013). Additionally, local municipalities sometimes give land to private developers at no cost because of the possibility of an increased tax base through the development’s residents, and a higher land value for the surrounding area (Hoover 2015, 1102). Through incentives like these, as well as through the rental subsidy system, individuals are getting a place to stay, but property owners still profit. In short, the need for affordable housing in the U.S. is being treated as a personal problem, not a social issue. While providing housing for individuals, rental subsidies do not do anything to ameliorate the economic exploitation of people with compulsory housing needs by the speculative determining of housing market-rates. </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u w:val="single"/>
        </w:rPr>
        <w:t>Homeowner Subsidies</w:t>
      </w:r>
      <w:r w:rsidRPr="007360FA">
        <w:rPr>
          <w:rFonts w:ascii="Times New Roman" w:eastAsia="Times New Roman" w:hAnsi="Times New Roman" w:cs="Times New Roman"/>
          <w:color w:val="000000"/>
          <w:sz w:val="24"/>
          <w:szCs w:val="24"/>
        </w:rPr>
        <w:t>. Low-income homeowner subsidies differ from rental subsidies. At the time of a property’s purchase, government entities “often provide financial support through down payment assistance or a similar cash outlay (Davis 2006</w:t>
      </w:r>
      <w:r w:rsidRPr="007360FA">
        <w:rPr>
          <w:rFonts w:ascii="Times New Roman" w:eastAsia="Times New Roman" w:hAnsi="Times New Roman" w:cs="Times New Roman"/>
          <w:b/>
          <w:bCs/>
          <w:color w:val="000000"/>
          <w:sz w:val="24"/>
          <w:szCs w:val="24"/>
        </w:rPr>
        <w:t>)</w:t>
      </w:r>
      <w:proofErr w:type="gramStart"/>
      <w:r w:rsidRPr="007360FA">
        <w:rPr>
          <w:rFonts w:ascii="Times New Roman" w:eastAsia="Times New Roman" w:hAnsi="Times New Roman" w:cs="Times New Roman"/>
          <w:b/>
          <w:bCs/>
          <w:color w:val="000000"/>
          <w:sz w:val="24"/>
          <w:szCs w:val="24"/>
        </w:rPr>
        <w:t>.</w:t>
      </w:r>
      <w:r w:rsidRPr="007360FA">
        <w:rPr>
          <w:rFonts w:ascii="Times New Roman" w:eastAsia="Times New Roman" w:hAnsi="Times New Roman" w:cs="Times New Roman"/>
          <w:color w:val="000000"/>
          <w:sz w:val="24"/>
          <w:szCs w:val="24"/>
        </w:rPr>
        <w:t>[</w:t>
      </w:r>
      <w:proofErr w:type="gramEnd"/>
      <w:r w:rsidRPr="007360FA">
        <w:rPr>
          <w:rFonts w:ascii="Times New Roman" w:eastAsia="Times New Roman" w:hAnsi="Times New Roman" w:cs="Times New Roman"/>
          <w:color w:val="000000"/>
          <w:sz w:val="24"/>
          <w:szCs w:val="24"/>
        </w:rPr>
        <w:t xml:space="preserve">....] In order to protect the public investment and ensure continued afford-ability, local governments attempt to recoup the initial subsidy when the owner sells the home (Institution for Community Economics no date).” This model of subsidy distribution eases the burden on new low-income homeowners. Unlike the rental model, the subsidy is not lost to the property owner forever, but is eventually returned to the government with a portion of the realize appreciation of the home. Despite this repayment, </w:t>
      </w:r>
      <w:r w:rsidRPr="007360FA">
        <w:rPr>
          <w:rFonts w:ascii="Times New Roman" w:eastAsia="Times New Roman" w:hAnsi="Times New Roman" w:cs="Times New Roman"/>
          <w:color w:val="000000"/>
          <w:sz w:val="24"/>
          <w:szCs w:val="24"/>
        </w:rPr>
        <w:lastRenderedPageBreak/>
        <w:t>any of these subsidized properties can be sold at market value, thus decreasing the pool of affordable housing in the community. Because of a property’s appreciation, and the increasing costs of development, recaptured funds are likely to be insufficient to cover the cost of a new affordable unit (</w:t>
      </w:r>
      <w:proofErr w:type="spellStart"/>
      <w:r w:rsidRPr="007360FA">
        <w:rPr>
          <w:rFonts w:ascii="Times New Roman" w:eastAsia="Times New Roman" w:hAnsi="Times New Roman" w:cs="Times New Roman"/>
          <w:color w:val="000000"/>
          <w:sz w:val="24"/>
          <w:szCs w:val="24"/>
        </w:rPr>
        <w:t>Conaty</w:t>
      </w:r>
      <w:proofErr w:type="spellEnd"/>
      <w:r w:rsidRPr="007360FA">
        <w:rPr>
          <w:rFonts w:ascii="Times New Roman" w:eastAsia="Times New Roman" w:hAnsi="Times New Roman" w:cs="Times New Roman"/>
          <w:color w:val="000000"/>
          <w:sz w:val="24"/>
          <w:szCs w:val="24"/>
        </w:rPr>
        <w:t xml:space="preserve">, and Lewis 2014; </w:t>
      </w:r>
      <w:proofErr w:type="spellStart"/>
      <w:r w:rsidRPr="007360FA">
        <w:rPr>
          <w:rFonts w:ascii="Times New Roman" w:eastAsia="Times New Roman" w:hAnsi="Times New Roman" w:cs="Times New Roman"/>
          <w:color w:val="000000"/>
          <w:sz w:val="24"/>
          <w:szCs w:val="24"/>
        </w:rPr>
        <w:t>Towey</w:t>
      </w:r>
      <w:proofErr w:type="spellEnd"/>
      <w:r w:rsidRPr="007360FA">
        <w:rPr>
          <w:rFonts w:ascii="Times New Roman" w:eastAsia="Times New Roman" w:hAnsi="Times New Roman" w:cs="Times New Roman"/>
          <w:color w:val="000000"/>
          <w:sz w:val="24"/>
          <w:szCs w:val="24"/>
        </w:rPr>
        <w:t xml:space="preserve"> 2009).</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ab/>
        <w:t>To be fair, the current system of housing subsidies is far better than the preceding method of public housing projects that concentrated the poorest residents into squalid ghettos. With that said, the current rental subsidy program only spreads exploitative costs from the renter to the taxpayers. While homeowner subsidy programs are not as bad, they still produce a net loss for taxpayers. To benefit community development efforts, as well as the well-being of the collective residents of the United States, we need to find a more efficient way to provide decent affordable housing.</w:t>
      </w:r>
    </w:p>
    <w:p w:rsidR="007360FA" w:rsidRPr="007360FA" w:rsidRDefault="007360FA" w:rsidP="007360FA">
      <w:pPr>
        <w:spacing w:after="200" w:line="240" w:lineRule="auto"/>
        <w:jc w:val="center"/>
        <w:rPr>
          <w:rFonts w:ascii="Times New Roman" w:eastAsia="Times New Roman" w:hAnsi="Times New Roman" w:cs="Times New Roman"/>
          <w:sz w:val="24"/>
          <w:szCs w:val="24"/>
        </w:rPr>
      </w:pPr>
      <w:r w:rsidRPr="007360FA">
        <w:rPr>
          <w:rFonts w:ascii="Times New Roman" w:eastAsia="Times New Roman" w:hAnsi="Times New Roman" w:cs="Times New Roman"/>
          <w:b/>
          <w:bCs/>
          <w:color w:val="000000"/>
          <w:sz w:val="24"/>
          <w:szCs w:val="24"/>
        </w:rPr>
        <w:t>Community Development and Gentrification: A Double-edged Sword</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ab/>
        <w:t>In general, community development is considered to be a benevolent practice that aims to leverage community resources and improve the quality of life for all stakeholders. However, when community improvements are made, the speculated market value of the surrounding land increases. Not only does this increase home prices, but also taxes and rental rates. For example, between 1990 and 2000, “the median housing price in five gentrifying neighborhoods in Atlanta rose from $48,200 to $116,700” (</w:t>
      </w:r>
      <w:proofErr w:type="spellStart"/>
      <w:r w:rsidRPr="007360FA">
        <w:rPr>
          <w:rFonts w:ascii="Times New Roman" w:eastAsia="Times New Roman" w:hAnsi="Times New Roman" w:cs="Times New Roman"/>
          <w:color w:val="000000"/>
          <w:sz w:val="24"/>
          <w:szCs w:val="24"/>
        </w:rPr>
        <w:t>Bagdol</w:t>
      </w:r>
      <w:proofErr w:type="spellEnd"/>
      <w:r w:rsidRPr="007360FA">
        <w:rPr>
          <w:rFonts w:ascii="Times New Roman" w:eastAsia="Times New Roman" w:hAnsi="Times New Roman" w:cs="Times New Roman"/>
          <w:color w:val="000000"/>
          <w:sz w:val="24"/>
          <w:szCs w:val="24"/>
        </w:rPr>
        <w:t xml:space="preserve"> 2013, 944). Similarly, in the Sawmill community of Albuquerque, NM; between 1995 and 2005 property values increased from $1.05 to $4.10 per square foot (</w:t>
      </w:r>
      <w:proofErr w:type="spellStart"/>
      <w:r w:rsidRPr="007360FA">
        <w:rPr>
          <w:rFonts w:ascii="Times New Roman" w:eastAsia="Times New Roman" w:hAnsi="Times New Roman" w:cs="Times New Roman"/>
          <w:color w:val="000000"/>
          <w:sz w:val="24"/>
          <w:szCs w:val="24"/>
        </w:rPr>
        <w:t>Bagdol</w:t>
      </w:r>
      <w:proofErr w:type="spellEnd"/>
      <w:r w:rsidRPr="007360FA">
        <w:rPr>
          <w:rFonts w:ascii="Times New Roman" w:eastAsia="Times New Roman" w:hAnsi="Times New Roman" w:cs="Times New Roman"/>
          <w:color w:val="000000"/>
          <w:sz w:val="24"/>
          <w:szCs w:val="24"/>
        </w:rPr>
        <w:t xml:space="preserve"> 2013, 945).  While an improving community may mean a higher standard of living for many residents, it also means revenue or profits for municipalities, developers, and quick-selling property owners (Turnbull 2009, 23). On the other hand, for low-income families it can mean forced displacement (Hoover 2014, 1098). This forced displacement because of an area’s increasing cost of living is the central issue of gentrification (</w:t>
      </w:r>
      <w:proofErr w:type="spellStart"/>
      <w:r w:rsidRPr="007360FA">
        <w:rPr>
          <w:rFonts w:ascii="Times New Roman" w:eastAsia="Times New Roman" w:hAnsi="Times New Roman" w:cs="Times New Roman"/>
          <w:color w:val="000000"/>
          <w:sz w:val="24"/>
          <w:szCs w:val="24"/>
        </w:rPr>
        <w:t>Bagdol</w:t>
      </w:r>
      <w:proofErr w:type="spellEnd"/>
      <w:r w:rsidRPr="007360FA">
        <w:rPr>
          <w:rFonts w:ascii="Times New Roman" w:eastAsia="Times New Roman" w:hAnsi="Times New Roman" w:cs="Times New Roman"/>
          <w:color w:val="000000"/>
          <w:sz w:val="24"/>
          <w:szCs w:val="24"/>
        </w:rPr>
        <w:t xml:space="preserve"> 2013, 944).</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ab/>
        <w:t xml:space="preserve">The tragedy of gentrification is this: Even when a bottom-up approach to community development is taken, and community members of all income levels work together to improve their community, the low-income residents who have the most to gain are invariably forced out of the community once the improvements are realized. Additionally, because of the positive correlation between racial discrimination and economic inequality in the U.S., historically gentrification has usually meant the displacement of Black people in favor of whites (Gray and </w:t>
      </w:r>
      <w:proofErr w:type="spellStart"/>
      <w:r w:rsidRPr="007360FA">
        <w:rPr>
          <w:rFonts w:ascii="Times New Roman" w:eastAsia="Times New Roman" w:hAnsi="Times New Roman" w:cs="Times New Roman"/>
          <w:color w:val="000000"/>
          <w:sz w:val="24"/>
          <w:szCs w:val="24"/>
        </w:rPr>
        <w:t>Galande</w:t>
      </w:r>
      <w:proofErr w:type="spellEnd"/>
      <w:r w:rsidRPr="007360FA">
        <w:rPr>
          <w:rFonts w:ascii="Times New Roman" w:eastAsia="Times New Roman" w:hAnsi="Times New Roman" w:cs="Times New Roman"/>
          <w:color w:val="000000"/>
          <w:sz w:val="24"/>
          <w:szCs w:val="24"/>
        </w:rPr>
        <w:t xml:space="preserve"> 2011; Kennedy and Leonard 2001). Furthermore, the possibility of gentrification </w:t>
      </w:r>
      <w:proofErr w:type="spellStart"/>
      <w:r w:rsidRPr="007360FA">
        <w:rPr>
          <w:rFonts w:ascii="Times New Roman" w:eastAsia="Times New Roman" w:hAnsi="Times New Roman" w:cs="Times New Roman"/>
          <w:color w:val="000000"/>
          <w:sz w:val="24"/>
          <w:szCs w:val="24"/>
        </w:rPr>
        <w:t>disincentivizes</w:t>
      </w:r>
      <w:proofErr w:type="spellEnd"/>
      <w:r w:rsidRPr="007360FA">
        <w:rPr>
          <w:rFonts w:ascii="Times New Roman" w:eastAsia="Times New Roman" w:hAnsi="Times New Roman" w:cs="Times New Roman"/>
          <w:color w:val="000000"/>
          <w:sz w:val="24"/>
          <w:szCs w:val="24"/>
        </w:rPr>
        <w:t xml:space="preserve"> community support of, or participation in the community development process. This raises questions about the practicality of the bottom-up approach to development. When development only benefits those wealthy enough to stay, every low-income resident will have a reason to fight against it. </w:t>
      </w:r>
    </w:p>
    <w:p w:rsidR="007360FA" w:rsidRPr="007360FA" w:rsidRDefault="007360FA" w:rsidP="007360FA">
      <w:pPr>
        <w:spacing w:after="200" w:line="240" w:lineRule="auto"/>
        <w:ind w:firstLine="72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In sum, the latent negative effects of community development tend to contradict the very goals of development by discouraging community involvement and by separating resources from the people who need them the most. This serves to perpetuate economic and racial segregation, preserving inequality. In the following sections of this paper I will consider the merits and pitfalls of a promising affordable housing option that has been gaining traction in the United States since the inception of the “New Communities” community land trust in Albany, Georgia in 1967 (Gray 2008, 70).</w:t>
      </w:r>
    </w:p>
    <w:p w:rsidR="007360FA" w:rsidRPr="007360FA" w:rsidRDefault="007360FA" w:rsidP="007360FA">
      <w:pPr>
        <w:spacing w:after="200" w:line="240" w:lineRule="auto"/>
        <w:jc w:val="center"/>
        <w:rPr>
          <w:rFonts w:ascii="Times New Roman" w:eastAsia="Times New Roman" w:hAnsi="Times New Roman" w:cs="Times New Roman"/>
          <w:sz w:val="24"/>
          <w:szCs w:val="24"/>
        </w:rPr>
      </w:pPr>
      <w:r w:rsidRPr="007360FA">
        <w:rPr>
          <w:rFonts w:ascii="Times New Roman" w:eastAsia="Times New Roman" w:hAnsi="Times New Roman" w:cs="Times New Roman"/>
          <w:b/>
          <w:bCs/>
          <w:color w:val="000000"/>
          <w:sz w:val="24"/>
          <w:szCs w:val="24"/>
        </w:rPr>
        <w:lastRenderedPageBreak/>
        <w:t>Community Land Trusts (CLTs)</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ab/>
        <w:t>A community land trust is “a private nonprofit corporation created to acquire and hold land for the benefit of a community and provide secure affordable access to land and housing for the community residents” (The Institute for Community Economics [ICE] 1982). CLTs offer a form of community development that is unique in their approach to real estate ownership, and their approach to citizen governance (ICE 1982). CLTs acquire properties by either purchasing them with donated funds and government grants, or by acquiring them from the municipal government at no cost for the creation of affordable housing units. Foreclosed and abandoned properties in poor neighborhoods are usual targets for CLT acquisition because of their low price and the difference their rehabilitation would mean for the neighborhood. Once a dwelling is rehabilitated or built on the property, it is sold to a low-income homebuyer with a few conditions: First, the CLT maintains ownership over the land “in trust”. This is the defining characteristic of CLTs. The separation of land from dwellings significantly reduces the initial purchase price of the home, often by 70-75% (</w:t>
      </w:r>
      <w:proofErr w:type="spellStart"/>
      <w:r w:rsidRPr="007360FA">
        <w:rPr>
          <w:rFonts w:ascii="Times New Roman" w:eastAsia="Times New Roman" w:hAnsi="Times New Roman" w:cs="Times New Roman"/>
          <w:color w:val="000000"/>
          <w:sz w:val="24"/>
          <w:szCs w:val="24"/>
        </w:rPr>
        <w:t>Bagdol</w:t>
      </w:r>
      <w:proofErr w:type="spellEnd"/>
      <w:r w:rsidRPr="007360FA">
        <w:rPr>
          <w:rFonts w:ascii="Times New Roman" w:eastAsia="Times New Roman" w:hAnsi="Times New Roman" w:cs="Times New Roman"/>
          <w:color w:val="000000"/>
          <w:sz w:val="24"/>
          <w:szCs w:val="24"/>
        </w:rPr>
        <w:t xml:space="preserve"> 2013, 942; Turnbull 2009, 26), making decent homes more affordable to low-income buyers. Homeowners lease the land that the dwelling is on for a nominal fee like $25 per month (Miller 2015). Additionally, when the homeowner decides to sell their home, they will not earn windfall profits from increased land value due to improvements in the surrounding community. This caveat is huge in preventing personal profiteering from public community development efforts (Pastel 1991).</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ab/>
        <w:t xml:space="preserve">A second condition to CLT homeownership is that homeowners enter into a 99 year renewable and transferable contract with the CLT that stipulates that the homeowner may only sell the home to a low-income individual, or at a price </w:t>
      </w:r>
      <w:proofErr w:type="spellStart"/>
      <w:r w:rsidRPr="007360FA">
        <w:rPr>
          <w:rFonts w:ascii="Times New Roman" w:eastAsia="Times New Roman" w:hAnsi="Times New Roman" w:cs="Times New Roman"/>
          <w:color w:val="000000"/>
          <w:sz w:val="24"/>
          <w:szCs w:val="24"/>
        </w:rPr>
        <w:t>equatable</w:t>
      </w:r>
      <w:proofErr w:type="spellEnd"/>
      <w:r w:rsidRPr="007360FA">
        <w:rPr>
          <w:rFonts w:ascii="Times New Roman" w:eastAsia="Times New Roman" w:hAnsi="Times New Roman" w:cs="Times New Roman"/>
          <w:color w:val="000000"/>
          <w:sz w:val="24"/>
          <w:szCs w:val="24"/>
        </w:rPr>
        <w:t xml:space="preserve"> with what they had paid for the home themselves (CLTs differ in specific practices). In conjunction, the two conditions above serve to secure affordable housing for decades to come. The dwelling on the CLT property will remain affordable no matter what improvements are made to the surrounding community and no matter how many times it is resold. </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b/>
          <w:bCs/>
          <w:color w:val="000000"/>
          <w:sz w:val="24"/>
          <w:szCs w:val="24"/>
        </w:rPr>
        <w:t>The Issue of Property Taxes</w:t>
      </w:r>
    </w:p>
    <w:p w:rsidR="007360FA" w:rsidRPr="007360FA" w:rsidRDefault="007360FA" w:rsidP="007360FA">
      <w:pPr>
        <w:spacing w:after="200" w:line="240" w:lineRule="auto"/>
        <w:ind w:firstLine="72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The only uncertainty for the homeowner is what this means for their property taxes. Most municipalities are not yet familiar with the CLT model, and cooperation by tax assessors is not universal. Some assessors have determined that either the CLT or the homeowner needs to pay taxes on the full market rate of the property. Other assessors waive property taxes on CLT land completely. A middle option is for CLT homeowners to pay the property tax at the level reserved for affordable housing units, rather than the market-rate. This option helps to maintain the affordability of the CLT home while making a modest contribution to the community’s tax base (</w:t>
      </w:r>
      <w:proofErr w:type="spellStart"/>
      <w:r w:rsidRPr="007360FA">
        <w:rPr>
          <w:rFonts w:ascii="Times New Roman" w:eastAsia="Times New Roman" w:hAnsi="Times New Roman" w:cs="Times New Roman"/>
          <w:color w:val="000000"/>
          <w:sz w:val="24"/>
          <w:szCs w:val="24"/>
        </w:rPr>
        <w:t>Bagdol</w:t>
      </w:r>
      <w:proofErr w:type="spellEnd"/>
      <w:r w:rsidRPr="007360FA">
        <w:rPr>
          <w:rFonts w:ascii="Times New Roman" w:eastAsia="Times New Roman" w:hAnsi="Times New Roman" w:cs="Times New Roman"/>
          <w:color w:val="000000"/>
          <w:sz w:val="24"/>
          <w:szCs w:val="24"/>
        </w:rPr>
        <w:t xml:space="preserve"> 2013).</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b/>
          <w:bCs/>
          <w:color w:val="000000"/>
          <w:sz w:val="24"/>
          <w:szCs w:val="24"/>
        </w:rPr>
        <w:t>Criticisms of CLTs</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u w:val="single"/>
        </w:rPr>
        <w:t>CLTs Restrict Wealth Building</w:t>
      </w:r>
      <w:r w:rsidRPr="007360FA">
        <w:rPr>
          <w:rFonts w:ascii="Times New Roman" w:eastAsia="Times New Roman" w:hAnsi="Times New Roman" w:cs="Times New Roman"/>
          <w:color w:val="000000"/>
          <w:sz w:val="24"/>
          <w:szCs w:val="24"/>
        </w:rPr>
        <w:t xml:space="preserve">. For many Americans, homeownership is considered to be the main avenue to wealth building. If one can afford to purchase a home, especially one in an “up and coming” area, it is very likely that the property will increase in value as development efforts improve the community over time. The constraints that CLTs put on how much a homeowner can make from selling their CLT home is off-putting to Americans looking for an easy way to increase their wealth. “Most ground leases allow the original price to increase by 25% of any </w:t>
      </w:r>
      <w:r w:rsidRPr="007360FA">
        <w:rPr>
          <w:rFonts w:ascii="Times New Roman" w:eastAsia="Times New Roman" w:hAnsi="Times New Roman" w:cs="Times New Roman"/>
          <w:color w:val="000000"/>
          <w:sz w:val="24"/>
          <w:szCs w:val="24"/>
        </w:rPr>
        <w:lastRenderedPageBreak/>
        <w:t>increase in the market value of the home (</w:t>
      </w:r>
      <w:proofErr w:type="spellStart"/>
      <w:r w:rsidRPr="007360FA">
        <w:rPr>
          <w:rFonts w:ascii="Times New Roman" w:eastAsia="Times New Roman" w:hAnsi="Times New Roman" w:cs="Times New Roman"/>
          <w:color w:val="000000"/>
          <w:sz w:val="24"/>
          <w:szCs w:val="24"/>
        </w:rPr>
        <w:t>Bagdol</w:t>
      </w:r>
      <w:proofErr w:type="spellEnd"/>
      <w:r w:rsidRPr="007360FA">
        <w:rPr>
          <w:rFonts w:ascii="Times New Roman" w:eastAsia="Times New Roman" w:hAnsi="Times New Roman" w:cs="Times New Roman"/>
          <w:color w:val="000000"/>
          <w:sz w:val="24"/>
          <w:szCs w:val="24"/>
        </w:rPr>
        <w:t xml:space="preserve"> 2013, 943).” Additionally, if CLT homeowners decide to sell their home and move to a place without a CLT, it is unlikely that the profits from their CLT home will cover the entire cost of another house at market value. This argument against CLTs is not completely valid. First, CLT homeowners tend to be first time homeowners who would not otherwise be able to afford a house at market value. They do not usually have the option of buying a house at market value. Second, CLT homes provide a much more stable environment for wealth building than market value homes. “In 2008, the foreclosure rate of CLT homes was 0.52% compared with the national rate of 3.3% (</w:t>
      </w:r>
      <w:proofErr w:type="spellStart"/>
      <w:r w:rsidRPr="007360FA">
        <w:rPr>
          <w:rFonts w:ascii="Times New Roman" w:eastAsia="Times New Roman" w:hAnsi="Times New Roman" w:cs="Times New Roman"/>
          <w:color w:val="000000"/>
          <w:sz w:val="24"/>
          <w:szCs w:val="24"/>
        </w:rPr>
        <w:t>Bagdol</w:t>
      </w:r>
      <w:proofErr w:type="spellEnd"/>
      <w:r w:rsidRPr="007360FA">
        <w:rPr>
          <w:rFonts w:ascii="Times New Roman" w:eastAsia="Times New Roman" w:hAnsi="Times New Roman" w:cs="Times New Roman"/>
          <w:color w:val="000000"/>
          <w:sz w:val="24"/>
          <w:szCs w:val="24"/>
        </w:rPr>
        <w:t xml:space="preserve"> 2013, 943; Miller 2015, 371).”</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u w:val="single"/>
        </w:rPr>
        <w:t>CLTs Restrict Tax Revenue</w:t>
      </w:r>
      <w:r w:rsidRPr="007360FA">
        <w:rPr>
          <w:rFonts w:ascii="Times New Roman" w:eastAsia="Times New Roman" w:hAnsi="Times New Roman" w:cs="Times New Roman"/>
          <w:color w:val="000000"/>
          <w:sz w:val="24"/>
          <w:szCs w:val="24"/>
        </w:rPr>
        <w:t>. Another criticism of CLTs is their cost to the government. CLTs tend to be funded, at least in part, by government grants and subsidies. Additionally, the waiving or reduction of market value property taxes reduces the tax revenue per capita for municipalities. This means that CLT homeowners financially contribute less to the maintenance and creation of community resources, namely public education, than market value homeowners. If a large proportion of housing in one community was CLT homes, municipalities could find that the small amount that they are now getting from property taxes is insufficient to maintain an adequate public education system (</w:t>
      </w:r>
      <w:proofErr w:type="spellStart"/>
      <w:r w:rsidRPr="007360FA">
        <w:rPr>
          <w:rFonts w:ascii="Times New Roman" w:eastAsia="Times New Roman" w:hAnsi="Times New Roman" w:cs="Times New Roman"/>
          <w:color w:val="000000"/>
          <w:sz w:val="24"/>
          <w:szCs w:val="24"/>
        </w:rPr>
        <w:t>Bagdol</w:t>
      </w:r>
      <w:proofErr w:type="spellEnd"/>
      <w:r w:rsidRPr="007360FA">
        <w:rPr>
          <w:rFonts w:ascii="Times New Roman" w:eastAsia="Times New Roman" w:hAnsi="Times New Roman" w:cs="Times New Roman"/>
          <w:color w:val="000000"/>
          <w:sz w:val="24"/>
          <w:szCs w:val="24"/>
        </w:rPr>
        <w:t xml:space="preserve"> 2013).</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ab/>
        <w:t xml:space="preserve">A retort to the criticism that CLTs restrict tax revenue is: First, CLTs are much more financially efficient than the current rental and homeowner subsidy models outlined in the introduction of this paper. Research done by </w:t>
      </w:r>
      <w:proofErr w:type="spellStart"/>
      <w:r w:rsidRPr="007360FA">
        <w:rPr>
          <w:rFonts w:ascii="Times New Roman" w:eastAsia="Times New Roman" w:hAnsi="Times New Roman" w:cs="Times New Roman"/>
          <w:color w:val="000000"/>
          <w:sz w:val="24"/>
          <w:szCs w:val="24"/>
        </w:rPr>
        <w:t>Conaty</w:t>
      </w:r>
      <w:proofErr w:type="spellEnd"/>
      <w:r w:rsidRPr="007360FA">
        <w:rPr>
          <w:rFonts w:ascii="Times New Roman" w:eastAsia="Times New Roman" w:hAnsi="Times New Roman" w:cs="Times New Roman"/>
          <w:color w:val="000000"/>
          <w:sz w:val="24"/>
          <w:szCs w:val="24"/>
        </w:rPr>
        <w:t xml:space="preserve"> and Lewis (2014, 38) shows that over 30 years, the public cost of a CLT home subsidy would be $50,000 (the initial sale price). Over the same time, a home with the same market value as the CLT home would require $820,000 in government subsidies to remain affordable. Government funds need to continually be added to subsidies because with the increase in property value, more subsidy money is necessary to keep a market value house affordable each time it is sold (see homeowners subsidy section of this paper) (</w:t>
      </w:r>
      <w:proofErr w:type="spellStart"/>
      <w:r w:rsidRPr="007360FA">
        <w:rPr>
          <w:rFonts w:ascii="Times New Roman" w:eastAsia="Times New Roman" w:hAnsi="Times New Roman" w:cs="Times New Roman"/>
          <w:color w:val="000000"/>
          <w:sz w:val="24"/>
          <w:szCs w:val="24"/>
        </w:rPr>
        <w:t>Towey</w:t>
      </w:r>
      <w:proofErr w:type="spellEnd"/>
      <w:r w:rsidRPr="007360FA">
        <w:rPr>
          <w:rFonts w:ascii="Times New Roman" w:eastAsia="Times New Roman" w:hAnsi="Times New Roman" w:cs="Times New Roman"/>
          <w:color w:val="000000"/>
          <w:sz w:val="24"/>
          <w:szCs w:val="24"/>
        </w:rPr>
        <w:t xml:space="preserve"> 2009). Second, CLT homes usually start as foreclosed or abandoned homes, from which no tax revenue is being generated. When CLTs remodel these homes, a contribution is made to the improvement of the entire community. CLT homes can function like other improvements, raising property values and tax revenue in the surrounding area. Third, steps can be taken to restructure taxation so low residential tax revenue does not necessarily mean underfunded public school programs. Vermont is one state that has accomplished this by increasing corporate, gasoline, and cigarette tax, as well as diverting surplus tax revenue in wealthier municipalities to a state fund that is redistributed to municipalities that are more in need. This sort of program makes decent education available to children, even if their parents cannot afford to live in a high cost school district (</w:t>
      </w:r>
      <w:proofErr w:type="spellStart"/>
      <w:r w:rsidRPr="007360FA">
        <w:rPr>
          <w:rFonts w:ascii="Times New Roman" w:eastAsia="Times New Roman" w:hAnsi="Times New Roman" w:cs="Times New Roman"/>
          <w:color w:val="000000"/>
          <w:sz w:val="24"/>
          <w:szCs w:val="24"/>
        </w:rPr>
        <w:t>Bagdol</w:t>
      </w:r>
      <w:proofErr w:type="spellEnd"/>
      <w:r w:rsidRPr="007360FA">
        <w:rPr>
          <w:rFonts w:ascii="Times New Roman" w:eastAsia="Times New Roman" w:hAnsi="Times New Roman" w:cs="Times New Roman"/>
          <w:color w:val="000000"/>
          <w:sz w:val="24"/>
          <w:szCs w:val="24"/>
        </w:rPr>
        <w:t xml:space="preserve"> 2013).</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b/>
          <w:bCs/>
          <w:color w:val="000000"/>
          <w:sz w:val="24"/>
          <w:szCs w:val="24"/>
        </w:rPr>
        <w:t>CLTs and Community Organizing</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b/>
          <w:bCs/>
          <w:color w:val="000000"/>
          <w:sz w:val="24"/>
          <w:szCs w:val="24"/>
        </w:rPr>
        <w:tab/>
      </w:r>
      <w:r w:rsidRPr="007360FA">
        <w:rPr>
          <w:rFonts w:ascii="Times New Roman" w:eastAsia="Times New Roman" w:hAnsi="Times New Roman" w:cs="Times New Roman"/>
          <w:color w:val="000000"/>
          <w:sz w:val="24"/>
          <w:szCs w:val="24"/>
        </w:rPr>
        <w:t>Community land trusts utilize a unique technique for ensuring that community interests are held at the center of their role in development. CLT board of directors are usually equally composed of three different groups of people: CLT homeowners, residents of the CLT community, and other interested parties like social service providers, public officials, etc. (Gray 2008). This balance of representation expresses a dedication to community involvement and participation.</w:t>
      </w:r>
    </w:p>
    <w:p w:rsidR="007360FA" w:rsidRPr="007360FA" w:rsidRDefault="007360FA" w:rsidP="007360FA">
      <w:pPr>
        <w:spacing w:after="200" w:line="240" w:lineRule="auto"/>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lastRenderedPageBreak/>
        <w:tab/>
        <w:t xml:space="preserve">Community land trusts can also operate as an avenue for community organizing. Many CLTs provide educational classes, forums for community members to discuss local issues, and are points of contact between community members and the police and other resource centers. These services help to develop lasting neighborhood leadership that is able to do things like lobby or campaign for the CLT to become a permanent part of the city budget, for a better housing policy, and for fair CLT homeowner property taxes (Gray and </w:t>
      </w:r>
      <w:proofErr w:type="spellStart"/>
      <w:r w:rsidRPr="007360FA">
        <w:rPr>
          <w:rFonts w:ascii="Times New Roman" w:eastAsia="Times New Roman" w:hAnsi="Times New Roman" w:cs="Times New Roman"/>
          <w:color w:val="000000"/>
          <w:sz w:val="24"/>
          <w:szCs w:val="24"/>
        </w:rPr>
        <w:t>Galande</w:t>
      </w:r>
      <w:proofErr w:type="spellEnd"/>
      <w:r w:rsidRPr="007360FA">
        <w:rPr>
          <w:rFonts w:ascii="Times New Roman" w:eastAsia="Times New Roman" w:hAnsi="Times New Roman" w:cs="Times New Roman"/>
          <w:color w:val="000000"/>
          <w:sz w:val="24"/>
          <w:szCs w:val="24"/>
        </w:rPr>
        <w:t xml:space="preserve"> 2011, 247).</w:t>
      </w:r>
    </w:p>
    <w:p w:rsidR="007360FA" w:rsidRPr="007360FA" w:rsidRDefault="007360FA" w:rsidP="007360FA">
      <w:pPr>
        <w:spacing w:after="200" w:line="240" w:lineRule="auto"/>
        <w:jc w:val="center"/>
        <w:rPr>
          <w:rFonts w:ascii="Times New Roman" w:eastAsia="Times New Roman" w:hAnsi="Times New Roman" w:cs="Times New Roman"/>
          <w:sz w:val="24"/>
          <w:szCs w:val="24"/>
        </w:rPr>
      </w:pPr>
      <w:r w:rsidRPr="007360FA">
        <w:rPr>
          <w:rFonts w:ascii="Times New Roman" w:eastAsia="Times New Roman" w:hAnsi="Times New Roman" w:cs="Times New Roman"/>
          <w:b/>
          <w:bCs/>
          <w:color w:val="000000"/>
          <w:sz w:val="24"/>
          <w:szCs w:val="24"/>
        </w:rPr>
        <w:t>Conclusion</w:t>
      </w:r>
    </w:p>
    <w:p w:rsidR="007360FA" w:rsidRDefault="007360FA" w:rsidP="007360FA">
      <w:pPr>
        <w:spacing w:after="200" w:line="240" w:lineRule="auto"/>
        <w:rPr>
          <w:rFonts w:ascii="Times New Roman" w:eastAsia="Times New Roman" w:hAnsi="Times New Roman" w:cs="Times New Roman"/>
          <w:color w:val="000000"/>
          <w:sz w:val="24"/>
          <w:szCs w:val="24"/>
        </w:rPr>
      </w:pPr>
      <w:r w:rsidRPr="007360FA">
        <w:rPr>
          <w:rFonts w:ascii="Times New Roman" w:eastAsia="Times New Roman" w:hAnsi="Times New Roman" w:cs="Times New Roman"/>
          <w:b/>
          <w:bCs/>
          <w:color w:val="000000"/>
          <w:sz w:val="24"/>
          <w:szCs w:val="24"/>
        </w:rPr>
        <w:tab/>
      </w:r>
      <w:r w:rsidRPr="007360FA">
        <w:rPr>
          <w:rFonts w:ascii="Times New Roman" w:eastAsia="Times New Roman" w:hAnsi="Times New Roman" w:cs="Times New Roman"/>
          <w:color w:val="000000"/>
          <w:sz w:val="24"/>
          <w:szCs w:val="24"/>
        </w:rPr>
        <w:t>Affordable housing continues to be a point of struggle and a main decider of livelihood and well-being for many Americans. The way the U.S. government currently handles the problem of affordable housing is simplistic, wasteful, and supports the continued profiteering off of human needs and community improvements by landowners. The implementation of community land trusts in America has the potential to open the possibility of homeownership up to millions of low-income residents. CLTs offer an option for maintaining the affordability of subsidized homes in perpetuity without the need for additional subsidy investments. Through their community revitalization and organizing efforts, CLTs can also serve as inherently place based and inclusive community development organizations. All these factors suggest that community land trusts are helpful to community development. However, a city that decides to adopt the CLT model as a major mode of community development and/or affordable housing provision will need to tailor its tax policy to this new system. Community development improvements that sometimes lead to higher property values, taxation, and gentrification would now garner a smaller portion of tax revenue. Municipalities need to balance the potential benefits and costs that CLTs bring to community development efforts with each unique political and economic context.</w:t>
      </w:r>
    </w:p>
    <w:p w:rsidR="007360FA" w:rsidRPr="007360FA" w:rsidRDefault="007360FA" w:rsidP="007360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7360FA" w:rsidRPr="007360FA" w:rsidRDefault="007360FA" w:rsidP="007360FA">
      <w:pPr>
        <w:spacing w:after="200" w:line="240" w:lineRule="auto"/>
        <w:jc w:val="center"/>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lastRenderedPageBreak/>
        <w:t>RE</w:t>
      </w:r>
      <w:bookmarkStart w:id="0" w:name="_GoBack"/>
      <w:bookmarkEnd w:id="0"/>
      <w:r w:rsidRPr="007360FA">
        <w:rPr>
          <w:rFonts w:ascii="Times New Roman" w:eastAsia="Times New Roman" w:hAnsi="Times New Roman" w:cs="Times New Roman"/>
          <w:color w:val="000000"/>
          <w:sz w:val="24"/>
          <w:szCs w:val="24"/>
        </w:rPr>
        <w:t>FERENCES</w:t>
      </w:r>
    </w:p>
    <w:p w:rsidR="007360FA" w:rsidRPr="007360FA" w:rsidRDefault="007360FA" w:rsidP="007360FA">
      <w:pPr>
        <w:spacing w:after="200" w:line="240" w:lineRule="auto"/>
        <w:ind w:left="460" w:hanging="440"/>
        <w:rPr>
          <w:rFonts w:ascii="Times New Roman" w:eastAsia="Times New Roman" w:hAnsi="Times New Roman" w:cs="Times New Roman"/>
          <w:sz w:val="24"/>
          <w:szCs w:val="24"/>
        </w:rPr>
      </w:pPr>
      <w:proofErr w:type="spellStart"/>
      <w:r w:rsidRPr="007360FA">
        <w:rPr>
          <w:rFonts w:ascii="Times New Roman" w:eastAsia="Times New Roman" w:hAnsi="Times New Roman" w:cs="Times New Roman"/>
          <w:color w:val="000000"/>
          <w:sz w:val="24"/>
          <w:szCs w:val="24"/>
        </w:rPr>
        <w:t>Bagdol</w:t>
      </w:r>
      <w:proofErr w:type="spellEnd"/>
      <w:r w:rsidRPr="007360FA">
        <w:rPr>
          <w:rFonts w:ascii="Times New Roman" w:eastAsia="Times New Roman" w:hAnsi="Times New Roman" w:cs="Times New Roman"/>
          <w:color w:val="000000"/>
          <w:sz w:val="24"/>
          <w:szCs w:val="24"/>
        </w:rPr>
        <w:t xml:space="preserve">, </w:t>
      </w:r>
      <w:proofErr w:type="spellStart"/>
      <w:r w:rsidRPr="007360FA">
        <w:rPr>
          <w:rFonts w:ascii="Times New Roman" w:eastAsia="Times New Roman" w:hAnsi="Times New Roman" w:cs="Times New Roman"/>
          <w:color w:val="000000"/>
          <w:sz w:val="24"/>
          <w:szCs w:val="24"/>
        </w:rPr>
        <w:t>Alese</w:t>
      </w:r>
      <w:proofErr w:type="spellEnd"/>
      <w:r w:rsidRPr="007360FA">
        <w:rPr>
          <w:rFonts w:ascii="Times New Roman" w:eastAsia="Times New Roman" w:hAnsi="Times New Roman" w:cs="Times New Roman"/>
          <w:color w:val="000000"/>
          <w:sz w:val="24"/>
          <w:szCs w:val="24"/>
        </w:rPr>
        <w:t xml:space="preserve">. 2013. "Property Taxes and Community Land Trusts: A Middle Ground." </w:t>
      </w:r>
      <w:r w:rsidRPr="007360FA">
        <w:rPr>
          <w:rFonts w:ascii="Times New Roman" w:eastAsia="Times New Roman" w:hAnsi="Times New Roman" w:cs="Times New Roman"/>
          <w:i/>
          <w:iCs/>
          <w:color w:val="000000"/>
          <w:sz w:val="24"/>
          <w:szCs w:val="24"/>
        </w:rPr>
        <w:t>Texas Law Review 2013</w:t>
      </w:r>
      <w:r w:rsidRPr="007360FA">
        <w:rPr>
          <w:rFonts w:ascii="Times New Roman" w:eastAsia="Times New Roman" w:hAnsi="Times New Roman" w:cs="Times New Roman"/>
          <w:color w:val="000000"/>
          <w:sz w:val="24"/>
          <w:szCs w:val="24"/>
        </w:rPr>
        <w:t xml:space="preserve"> 91 (4):939-959.</w:t>
      </w:r>
    </w:p>
    <w:p w:rsidR="007360FA" w:rsidRPr="007360FA" w:rsidRDefault="007360FA" w:rsidP="007360FA">
      <w:pPr>
        <w:spacing w:after="200" w:line="240" w:lineRule="auto"/>
        <w:ind w:left="460" w:hanging="44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 xml:space="preserve">Bureau of Labor Statistics. 2015. "Consumer Expenditure Survey Multiyear Tables." </w:t>
      </w:r>
      <w:hyperlink r:id="rId4" w:history="1">
        <w:r w:rsidRPr="007360FA">
          <w:rPr>
            <w:rFonts w:ascii="Times New Roman" w:eastAsia="Times New Roman" w:hAnsi="Times New Roman" w:cs="Times New Roman"/>
            <w:color w:val="1155CC"/>
            <w:sz w:val="24"/>
            <w:szCs w:val="24"/>
            <w:u w:val="single"/>
          </w:rPr>
          <w:t>http://www.bls.gov/cex/csxmulti.htm</w:t>
        </w:r>
      </w:hyperlink>
    </w:p>
    <w:p w:rsidR="007360FA" w:rsidRPr="007360FA" w:rsidRDefault="007360FA" w:rsidP="007360FA">
      <w:pPr>
        <w:spacing w:after="200" w:line="240" w:lineRule="auto"/>
        <w:ind w:left="460" w:hanging="44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 xml:space="preserve">Bureau of Labor Statistics. 2016. “CPI Detailed Report Data for February 2016.” P73. </w:t>
      </w:r>
      <w:hyperlink r:id="rId5" w:history="1">
        <w:r w:rsidRPr="007360FA">
          <w:rPr>
            <w:rFonts w:ascii="Times New Roman" w:eastAsia="Times New Roman" w:hAnsi="Times New Roman" w:cs="Times New Roman"/>
            <w:color w:val="1155CC"/>
            <w:sz w:val="24"/>
            <w:szCs w:val="24"/>
            <w:u w:val="single"/>
          </w:rPr>
          <w:t>http://www.bls.gov/cpi/cpid1602.pdf</w:t>
        </w:r>
      </w:hyperlink>
      <w:r w:rsidRPr="007360FA">
        <w:rPr>
          <w:rFonts w:ascii="Times New Roman" w:eastAsia="Times New Roman" w:hAnsi="Times New Roman" w:cs="Times New Roman"/>
          <w:color w:val="000000"/>
          <w:sz w:val="24"/>
          <w:szCs w:val="24"/>
        </w:rPr>
        <w:t xml:space="preserve"> </w:t>
      </w:r>
    </w:p>
    <w:p w:rsidR="007360FA" w:rsidRPr="007360FA" w:rsidRDefault="007360FA" w:rsidP="007360FA">
      <w:pPr>
        <w:spacing w:after="200" w:line="240" w:lineRule="auto"/>
        <w:ind w:left="460" w:hanging="440"/>
        <w:rPr>
          <w:rFonts w:ascii="Times New Roman" w:eastAsia="Times New Roman" w:hAnsi="Times New Roman" w:cs="Times New Roman"/>
          <w:sz w:val="24"/>
          <w:szCs w:val="24"/>
        </w:rPr>
      </w:pPr>
      <w:proofErr w:type="spellStart"/>
      <w:r w:rsidRPr="007360FA">
        <w:rPr>
          <w:rFonts w:ascii="Times New Roman" w:eastAsia="Times New Roman" w:hAnsi="Times New Roman" w:cs="Times New Roman"/>
          <w:color w:val="000000"/>
          <w:sz w:val="24"/>
          <w:szCs w:val="24"/>
        </w:rPr>
        <w:t>Conaty</w:t>
      </w:r>
      <w:proofErr w:type="spellEnd"/>
      <w:r w:rsidRPr="007360FA">
        <w:rPr>
          <w:rFonts w:ascii="Times New Roman" w:eastAsia="Times New Roman" w:hAnsi="Times New Roman" w:cs="Times New Roman"/>
          <w:color w:val="000000"/>
          <w:sz w:val="24"/>
          <w:szCs w:val="24"/>
        </w:rPr>
        <w:t xml:space="preserve">, Pat, and Michael Lewis. 2014. "Affordability locked in: Community land trusts aid households, communities, taxpayers." </w:t>
      </w:r>
      <w:r w:rsidRPr="007360FA">
        <w:rPr>
          <w:rFonts w:ascii="Times New Roman" w:eastAsia="Times New Roman" w:hAnsi="Times New Roman" w:cs="Times New Roman"/>
          <w:i/>
          <w:iCs/>
          <w:color w:val="000000"/>
          <w:sz w:val="24"/>
          <w:szCs w:val="24"/>
        </w:rPr>
        <w:t>Canadian Center for Policy Alternatives Monitor.</w:t>
      </w:r>
      <w:r w:rsidRPr="007360FA">
        <w:rPr>
          <w:rFonts w:ascii="Times New Roman" w:eastAsia="Times New Roman" w:hAnsi="Times New Roman" w:cs="Times New Roman"/>
          <w:color w:val="000000"/>
          <w:sz w:val="24"/>
          <w:szCs w:val="24"/>
        </w:rPr>
        <w:t xml:space="preserve"> March 2014, 36.</w:t>
      </w:r>
    </w:p>
    <w:p w:rsidR="007360FA" w:rsidRPr="007360FA" w:rsidRDefault="007360FA" w:rsidP="007360FA">
      <w:pPr>
        <w:spacing w:after="200" w:line="240" w:lineRule="auto"/>
        <w:ind w:left="460" w:hanging="440"/>
        <w:rPr>
          <w:rFonts w:ascii="Times New Roman" w:eastAsia="Times New Roman" w:hAnsi="Times New Roman" w:cs="Times New Roman"/>
          <w:sz w:val="24"/>
          <w:szCs w:val="24"/>
        </w:rPr>
      </w:pPr>
      <w:proofErr w:type="spellStart"/>
      <w:r w:rsidRPr="007360FA">
        <w:rPr>
          <w:rFonts w:ascii="Times New Roman" w:eastAsia="Times New Roman" w:hAnsi="Times New Roman" w:cs="Times New Roman"/>
          <w:color w:val="000000"/>
          <w:sz w:val="24"/>
          <w:szCs w:val="24"/>
        </w:rPr>
        <w:t>Davis</w:t>
      </w:r>
      <w:proofErr w:type="gramStart"/>
      <w:r w:rsidRPr="007360FA">
        <w:rPr>
          <w:rFonts w:ascii="Times New Roman" w:eastAsia="Times New Roman" w:hAnsi="Times New Roman" w:cs="Times New Roman"/>
          <w:color w:val="000000"/>
          <w:sz w:val="24"/>
          <w:szCs w:val="24"/>
        </w:rPr>
        <w:t>,.</w:t>
      </w:r>
      <w:proofErr w:type="gramEnd"/>
      <w:r w:rsidRPr="007360FA">
        <w:rPr>
          <w:rFonts w:ascii="Times New Roman" w:eastAsia="Times New Roman" w:hAnsi="Times New Roman" w:cs="Times New Roman"/>
          <w:color w:val="000000"/>
          <w:sz w:val="24"/>
          <w:szCs w:val="24"/>
        </w:rPr>
        <w:t>John</w:t>
      </w:r>
      <w:proofErr w:type="spellEnd"/>
      <w:r w:rsidRPr="007360FA">
        <w:rPr>
          <w:rFonts w:ascii="Times New Roman" w:eastAsia="Times New Roman" w:hAnsi="Times New Roman" w:cs="Times New Roman"/>
          <w:color w:val="000000"/>
          <w:sz w:val="24"/>
          <w:szCs w:val="24"/>
        </w:rPr>
        <w:t xml:space="preserve"> E. , 2006. Shared Equity Homeownership: The Changing Landscape of Resale-restricted, owner-occupied Housing 81, (www.burlingtonassociates.com/resources/archives/ SharedEquityHome.pdf) cited by</w:t>
      </w:r>
      <w:r w:rsidRPr="007360FA">
        <w:rPr>
          <w:rFonts w:ascii="Times New Roman" w:eastAsia="Times New Roman" w:hAnsi="Times New Roman" w:cs="Times New Roman"/>
          <w:b/>
          <w:bCs/>
          <w:color w:val="000000"/>
          <w:sz w:val="24"/>
          <w:szCs w:val="24"/>
        </w:rPr>
        <w:t xml:space="preserve"> </w:t>
      </w:r>
      <w:proofErr w:type="spellStart"/>
      <w:r w:rsidRPr="007360FA">
        <w:rPr>
          <w:rFonts w:ascii="Times New Roman" w:eastAsia="Times New Roman" w:hAnsi="Times New Roman" w:cs="Times New Roman"/>
          <w:color w:val="000000"/>
          <w:sz w:val="24"/>
          <w:szCs w:val="24"/>
        </w:rPr>
        <w:t>Towey</w:t>
      </w:r>
      <w:proofErr w:type="spellEnd"/>
      <w:r w:rsidRPr="007360FA">
        <w:rPr>
          <w:rFonts w:ascii="Times New Roman" w:eastAsia="Times New Roman" w:hAnsi="Times New Roman" w:cs="Times New Roman"/>
          <w:color w:val="000000"/>
          <w:sz w:val="24"/>
          <w:szCs w:val="24"/>
        </w:rPr>
        <w:t xml:space="preserve">, Matthew. 2009. "The Land Trust without Land: The Unusual Structure of the Chicago Community Land Trust." </w:t>
      </w:r>
      <w:r w:rsidRPr="007360FA">
        <w:rPr>
          <w:rFonts w:ascii="Times New Roman" w:eastAsia="Times New Roman" w:hAnsi="Times New Roman" w:cs="Times New Roman"/>
          <w:i/>
          <w:iCs/>
          <w:color w:val="000000"/>
          <w:sz w:val="24"/>
          <w:szCs w:val="24"/>
        </w:rPr>
        <w:t>Journal of Affordable Housing &amp; Community Development Law</w:t>
      </w:r>
      <w:r w:rsidRPr="007360FA">
        <w:rPr>
          <w:rFonts w:ascii="Times New Roman" w:eastAsia="Times New Roman" w:hAnsi="Times New Roman" w:cs="Times New Roman"/>
          <w:color w:val="000000"/>
          <w:sz w:val="24"/>
          <w:szCs w:val="24"/>
        </w:rPr>
        <w:t xml:space="preserve"> 18 (3):335-362.</w:t>
      </w:r>
      <w:r w:rsidRPr="007360FA">
        <w:rPr>
          <w:rFonts w:ascii="Times New Roman" w:eastAsia="Times New Roman" w:hAnsi="Times New Roman" w:cs="Times New Roman"/>
          <w:b/>
          <w:bCs/>
          <w:color w:val="000000"/>
          <w:sz w:val="24"/>
          <w:szCs w:val="24"/>
        </w:rPr>
        <w:t xml:space="preserve"> </w:t>
      </w:r>
      <w:r w:rsidRPr="007360FA">
        <w:rPr>
          <w:rFonts w:ascii="Times New Roman" w:eastAsia="Times New Roman" w:hAnsi="Times New Roman" w:cs="Times New Roman"/>
          <w:color w:val="000000"/>
          <w:sz w:val="24"/>
          <w:szCs w:val="24"/>
        </w:rPr>
        <w:t>p. 5.</w:t>
      </w:r>
    </w:p>
    <w:p w:rsidR="007360FA" w:rsidRPr="007360FA" w:rsidRDefault="007360FA" w:rsidP="007360FA">
      <w:pPr>
        <w:spacing w:after="200" w:line="240" w:lineRule="auto"/>
        <w:ind w:left="460" w:hanging="44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 xml:space="preserve">Gray, Karen A. 2008. "Community Land Trusts in the United States." </w:t>
      </w:r>
      <w:r w:rsidRPr="007360FA">
        <w:rPr>
          <w:rFonts w:ascii="Times New Roman" w:eastAsia="Times New Roman" w:hAnsi="Times New Roman" w:cs="Times New Roman"/>
          <w:i/>
          <w:iCs/>
          <w:color w:val="000000"/>
          <w:sz w:val="24"/>
          <w:szCs w:val="24"/>
        </w:rPr>
        <w:t>Journal of Community Practice</w:t>
      </w:r>
      <w:r w:rsidRPr="007360FA">
        <w:rPr>
          <w:rFonts w:ascii="Times New Roman" w:eastAsia="Times New Roman" w:hAnsi="Times New Roman" w:cs="Times New Roman"/>
          <w:color w:val="000000"/>
          <w:sz w:val="24"/>
          <w:szCs w:val="24"/>
        </w:rPr>
        <w:t xml:space="preserve"> 16 (1).</w:t>
      </w:r>
    </w:p>
    <w:p w:rsidR="007360FA" w:rsidRPr="007360FA" w:rsidRDefault="007360FA" w:rsidP="007360FA">
      <w:pPr>
        <w:spacing w:after="200" w:line="240" w:lineRule="auto"/>
        <w:ind w:left="460" w:hanging="44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 xml:space="preserve">Gray, Karen A., and </w:t>
      </w:r>
      <w:proofErr w:type="spellStart"/>
      <w:r w:rsidRPr="007360FA">
        <w:rPr>
          <w:rFonts w:ascii="Times New Roman" w:eastAsia="Times New Roman" w:hAnsi="Times New Roman" w:cs="Times New Roman"/>
          <w:color w:val="000000"/>
          <w:sz w:val="24"/>
          <w:szCs w:val="24"/>
        </w:rPr>
        <w:t>Mugdha</w:t>
      </w:r>
      <w:proofErr w:type="spellEnd"/>
      <w:r w:rsidRPr="007360FA">
        <w:rPr>
          <w:rFonts w:ascii="Times New Roman" w:eastAsia="Times New Roman" w:hAnsi="Times New Roman" w:cs="Times New Roman"/>
          <w:color w:val="000000"/>
          <w:sz w:val="24"/>
          <w:szCs w:val="24"/>
        </w:rPr>
        <w:t xml:space="preserve"> </w:t>
      </w:r>
      <w:proofErr w:type="spellStart"/>
      <w:r w:rsidRPr="007360FA">
        <w:rPr>
          <w:rFonts w:ascii="Times New Roman" w:eastAsia="Times New Roman" w:hAnsi="Times New Roman" w:cs="Times New Roman"/>
          <w:color w:val="000000"/>
          <w:sz w:val="24"/>
          <w:szCs w:val="24"/>
        </w:rPr>
        <w:t>Galande</w:t>
      </w:r>
      <w:proofErr w:type="spellEnd"/>
      <w:r w:rsidRPr="007360FA">
        <w:rPr>
          <w:rFonts w:ascii="Times New Roman" w:eastAsia="Times New Roman" w:hAnsi="Times New Roman" w:cs="Times New Roman"/>
          <w:color w:val="000000"/>
          <w:sz w:val="24"/>
          <w:szCs w:val="24"/>
        </w:rPr>
        <w:t xml:space="preserve">. 2011. "Keeping "Community" in a Community Land Trust." </w:t>
      </w:r>
      <w:r w:rsidRPr="007360FA">
        <w:rPr>
          <w:rFonts w:ascii="Times New Roman" w:eastAsia="Times New Roman" w:hAnsi="Times New Roman" w:cs="Times New Roman"/>
          <w:i/>
          <w:iCs/>
          <w:color w:val="000000"/>
          <w:sz w:val="24"/>
          <w:szCs w:val="24"/>
        </w:rPr>
        <w:t>National Association of Social Workers</w:t>
      </w:r>
      <w:r w:rsidRPr="007360FA">
        <w:rPr>
          <w:rFonts w:ascii="Times New Roman" w:eastAsia="Times New Roman" w:hAnsi="Times New Roman" w:cs="Times New Roman"/>
          <w:color w:val="000000"/>
          <w:sz w:val="24"/>
          <w:szCs w:val="24"/>
        </w:rPr>
        <w:t xml:space="preserve"> 35 (4):241.</w:t>
      </w:r>
    </w:p>
    <w:p w:rsidR="007360FA" w:rsidRPr="007360FA" w:rsidRDefault="007360FA" w:rsidP="007360FA">
      <w:pPr>
        <w:spacing w:after="200" w:line="240" w:lineRule="auto"/>
        <w:ind w:left="460" w:hanging="44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Hoover, Joe. 2015. "The Human Right to Housing and Community Empowerment: Home Occupation, Ev</w:t>
      </w:r>
      <w:r>
        <w:rPr>
          <w:rFonts w:ascii="Times New Roman" w:eastAsia="Times New Roman" w:hAnsi="Times New Roman" w:cs="Times New Roman"/>
          <w:color w:val="000000"/>
          <w:sz w:val="24"/>
          <w:szCs w:val="24"/>
        </w:rPr>
        <w:t>iction Defens</w:t>
      </w:r>
      <w:r w:rsidRPr="007360FA">
        <w:rPr>
          <w:rFonts w:ascii="Times New Roman" w:eastAsia="Times New Roman" w:hAnsi="Times New Roman" w:cs="Times New Roman"/>
          <w:color w:val="000000"/>
          <w:sz w:val="24"/>
          <w:szCs w:val="24"/>
        </w:rPr>
        <w:t xml:space="preserve">e and Community Land Trusts." </w:t>
      </w:r>
      <w:r w:rsidRPr="007360FA">
        <w:rPr>
          <w:rFonts w:ascii="Times New Roman" w:eastAsia="Times New Roman" w:hAnsi="Times New Roman" w:cs="Times New Roman"/>
          <w:i/>
          <w:iCs/>
          <w:color w:val="000000"/>
          <w:sz w:val="24"/>
          <w:szCs w:val="24"/>
        </w:rPr>
        <w:t>Third World Quarterly</w:t>
      </w:r>
      <w:r w:rsidRPr="007360FA">
        <w:rPr>
          <w:rFonts w:ascii="Times New Roman" w:eastAsia="Times New Roman" w:hAnsi="Times New Roman" w:cs="Times New Roman"/>
          <w:color w:val="000000"/>
          <w:sz w:val="24"/>
          <w:szCs w:val="24"/>
        </w:rPr>
        <w:t xml:space="preserve"> 36 (6):1092.</w:t>
      </w:r>
    </w:p>
    <w:p w:rsidR="007360FA" w:rsidRPr="007360FA" w:rsidRDefault="007360FA" w:rsidP="007360FA">
      <w:pPr>
        <w:spacing w:after="200" w:line="240" w:lineRule="auto"/>
        <w:ind w:left="460" w:hanging="44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Institute for Community Economics. 1982. The Community Land Trust Handbook. Emmaus, Pennsylvania: Rodale Press. 26.</w:t>
      </w:r>
      <w:r w:rsidRPr="007360FA">
        <w:rPr>
          <w:rFonts w:ascii="Times New Roman" w:eastAsia="Times New Roman" w:hAnsi="Times New Roman" w:cs="Times New Roman"/>
          <w:b/>
          <w:bCs/>
          <w:color w:val="000000"/>
          <w:sz w:val="24"/>
          <w:szCs w:val="24"/>
        </w:rPr>
        <w:t xml:space="preserve"> </w:t>
      </w:r>
      <w:proofErr w:type="gramStart"/>
      <w:r w:rsidRPr="007360FA">
        <w:rPr>
          <w:rFonts w:ascii="Times New Roman" w:eastAsia="Times New Roman" w:hAnsi="Times New Roman" w:cs="Times New Roman"/>
          <w:color w:val="000000"/>
          <w:sz w:val="24"/>
          <w:szCs w:val="24"/>
        </w:rPr>
        <w:t>cited</w:t>
      </w:r>
      <w:proofErr w:type="gramEnd"/>
      <w:r w:rsidRPr="007360FA">
        <w:rPr>
          <w:rFonts w:ascii="Times New Roman" w:eastAsia="Times New Roman" w:hAnsi="Times New Roman" w:cs="Times New Roman"/>
          <w:color w:val="000000"/>
          <w:sz w:val="24"/>
          <w:szCs w:val="24"/>
        </w:rPr>
        <w:t xml:space="preserve"> in</w:t>
      </w:r>
      <w:r w:rsidRPr="007360FA">
        <w:rPr>
          <w:rFonts w:ascii="Times New Roman" w:eastAsia="Times New Roman" w:hAnsi="Times New Roman" w:cs="Times New Roman"/>
          <w:b/>
          <w:bCs/>
          <w:color w:val="000000"/>
          <w:sz w:val="24"/>
          <w:szCs w:val="24"/>
        </w:rPr>
        <w:t xml:space="preserve"> </w:t>
      </w:r>
      <w:r w:rsidRPr="007360FA">
        <w:rPr>
          <w:rFonts w:ascii="Times New Roman" w:eastAsia="Times New Roman" w:hAnsi="Times New Roman" w:cs="Times New Roman"/>
          <w:color w:val="000000"/>
          <w:sz w:val="24"/>
          <w:szCs w:val="24"/>
        </w:rPr>
        <w:t xml:space="preserve">Gray, Karen A. 2008. "Community Land Trusts in the United States." </w:t>
      </w:r>
      <w:r w:rsidRPr="007360FA">
        <w:rPr>
          <w:rFonts w:ascii="Times New Roman" w:eastAsia="Times New Roman" w:hAnsi="Times New Roman" w:cs="Times New Roman"/>
          <w:i/>
          <w:iCs/>
          <w:color w:val="000000"/>
          <w:sz w:val="24"/>
          <w:szCs w:val="24"/>
        </w:rPr>
        <w:t>Journal of Community Practice</w:t>
      </w:r>
      <w:r w:rsidRPr="007360FA">
        <w:rPr>
          <w:rFonts w:ascii="Times New Roman" w:eastAsia="Times New Roman" w:hAnsi="Times New Roman" w:cs="Times New Roman"/>
          <w:color w:val="000000"/>
          <w:sz w:val="24"/>
          <w:szCs w:val="24"/>
        </w:rPr>
        <w:t xml:space="preserve"> 16 (1). p. 1.</w:t>
      </w:r>
    </w:p>
    <w:p w:rsidR="007360FA" w:rsidRPr="007360FA" w:rsidRDefault="007360FA" w:rsidP="007360FA">
      <w:pPr>
        <w:spacing w:after="200" w:line="240" w:lineRule="auto"/>
        <w:ind w:left="460" w:hanging="44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 xml:space="preserve">Joint Center for Housing Studies of Harvard University, The State of the Nation’s Housing 6 (2008). </w:t>
      </w:r>
      <w:proofErr w:type="gramStart"/>
      <w:r w:rsidRPr="007360FA">
        <w:rPr>
          <w:rFonts w:ascii="Times New Roman" w:eastAsia="Times New Roman" w:hAnsi="Times New Roman" w:cs="Times New Roman"/>
          <w:color w:val="000000"/>
          <w:sz w:val="24"/>
          <w:szCs w:val="24"/>
        </w:rPr>
        <w:t>cited</w:t>
      </w:r>
      <w:proofErr w:type="gramEnd"/>
      <w:r w:rsidRPr="007360FA">
        <w:rPr>
          <w:rFonts w:ascii="Times New Roman" w:eastAsia="Times New Roman" w:hAnsi="Times New Roman" w:cs="Times New Roman"/>
          <w:color w:val="000000"/>
          <w:sz w:val="24"/>
          <w:szCs w:val="24"/>
        </w:rPr>
        <w:t xml:space="preserve"> in</w:t>
      </w:r>
      <w:r w:rsidRPr="007360FA">
        <w:rPr>
          <w:rFonts w:ascii="Times New Roman" w:eastAsia="Times New Roman" w:hAnsi="Times New Roman" w:cs="Times New Roman"/>
          <w:b/>
          <w:bCs/>
          <w:color w:val="000000"/>
          <w:sz w:val="24"/>
          <w:szCs w:val="24"/>
        </w:rPr>
        <w:t xml:space="preserve"> </w:t>
      </w:r>
      <w:proofErr w:type="spellStart"/>
      <w:r w:rsidRPr="007360FA">
        <w:rPr>
          <w:rFonts w:ascii="Times New Roman" w:eastAsia="Times New Roman" w:hAnsi="Times New Roman" w:cs="Times New Roman"/>
          <w:color w:val="000000"/>
          <w:sz w:val="24"/>
          <w:szCs w:val="24"/>
        </w:rPr>
        <w:t>Towey</w:t>
      </w:r>
      <w:proofErr w:type="spellEnd"/>
      <w:r w:rsidRPr="007360FA">
        <w:rPr>
          <w:rFonts w:ascii="Times New Roman" w:eastAsia="Times New Roman" w:hAnsi="Times New Roman" w:cs="Times New Roman"/>
          <w:color w:val="000000"/>
          <w:sz w:val="24"/>
          <w:szCs w:val="24"/>
        </w:rPr>
        <w:t xml:space="preserve">, Matthew. 2009. "The Land Trust without Land: The Unusual Structure of the Chicago Community Land Trust." </w:t>
      </w:r>
      <w:r w:rsidRPr="007360FA">
        <w:rPr>
          <w:rFonts w:ascii="Times New Roman" w:eastAsia="Times New Roman" w:hAnsi="Times New Roman" w:cs="Times New Roman"/>
          <w:i/>
          <w:iCs/>
          <w:color w:val="000000"/>
          <w:sz w:val="24"/>
          <w:szCs w:val="24"/>
        </w:rPr>
        <w:t>Journal of Affordable Housing &amp; Community Development Law</w:t>
      </w:r>
      <w:r w:rsidRPr="007360FA">
        <w:rPr>
          <w:rFonts w:ascii="Times New Roman" w:eastAsia="Times New Roman" w:hAnsi="Times New Roman" w:cs="Times New Roman"/>
          <w:color w:val="000000"/>
          <w:sz w:val="24"/>
          <w:szCs w:val="24"/>
        </w:rPr>
        <w:t xml:space="preserve"> 18 (3):335-362.</w:t>
      </w:r>
      <w:r w:rsidRPr="007360FA">
        <w:rPr>
          <w:rFonts w:ascii="Times New Roman" w:eastAsia="Times New Roman" w:hAnsi="Times New Roman" w:cs="Times New Roman"/>
          <w:b/>
          <w:bCs/>
          <w:color w:val="000000"/>
          <w:sz w:val="24"/>
          <w:szCs w:val="24"/>
        </w:rPr>
        <w:t xml:space="preserve"> </w:t>
      </w:r>
      <w:r w:rsidRPr="007360FA">
        <w:rPr>
          <w:rFonts w:ascii="Times New Roman" w:eastAsia="Times New Roman" w:hAnsi="Times New Roman" w:cs="Times New Roman"/>
          <w:color w:val="000000"/>
          <w:sz w:val="24"/>
          <w:szCs w:val="24"/>
        </w:rPr>
        <w:t>p. 4</w:t>
      </w:r>
    </w:p>
    <w:p w:rsidR="007360FA" w:rsidRPr="007360FA" w:rsidRDefault="007360FA" w:rsidP="007360FA">
      <w:pPr>
        <w:spacing w:after="200" w:line="240" w:lineRule="auto"/>
        <w:ind w:left="450" w:hanging="45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 xml:space="preserve">Kennedy, Maureen, and Paul Leonard. 2001. "Dealing with Neighborhood Change: A Primer on Gentrification and Policy Changes." </w:t>
      </w:r>
      <w:r w:rsidRPr="007360FA">
        <w:rPr>
          <w:rFonts w:ascii="Times New Roman" w:eastAsia="Times New Roman" w:hAnsi="Times New Roman" w:cs="Times New Roman"/>
          <w:i/>
          <w:iCs/>
          <w:color w:val="000000"/>
          <w:sz w:val="24"/>
          <w:szCs w:val="24"/>
        </w:rPr>
        <w:t>The Brookings Institution Center on Urban and Metropolitan Policy</w:t>
      </w:r>
      <w:r w:rsidRPr="007360FA">
        <w:rPr>
          <w:rFonts w:ascii="Times New Roman" w:eastAsia="Times New Roman" w:hAnsi="Times New Roman" w:cs="Times New Roman"/>
          <w:color w:val="000000"/>
          <w:sz w:val="24"/>
          <w:szCs w:val="24"/>
        </w:rPr>
        <w:t xml:space="preserve">. </w:t>
      </w:r>
      <w:proofErr w:type="gramStart"/>
      <w:r w:rsidRPr="007360FA">
        <w:rPr>
          <w:rFonts w:ascii="Times New Roman" w:eastAsia="Times New Roman" w:hAnsi="Times New Roman" w:cs="Times New Roman"/>
          <w:color w:val="000000"/>
          <w:sz w:val="24"/>
          <w:szCs w:val="24"/>
        </w:rPr>
        <w:t>cited</w:t>
      </w:r>
      <w:proofErr w:type="gramEnd"/>
      <w:r w:rsidRPr="007360FA">
        <w:rPr>
          <w:rFonts w:ascii="Times New Roman" w:eastAsia="Times New Roman" w:hAnsi="Times New Roman" w:cs="Times New Roman"/>
          <w:color w:val="000000"/>
          <w:sz w:val="24"/>
          <w:szCs w:val="24"/>
        </w:rPr>
        <w:t xml:space="preserve"> in Gray, Karen A., and </w:t>
      </w:r>
      <w:proofErr w:type="spellStart"/>
      <w:r w:rsidRPr="007360FA">
        <w:rPr>
          <w:rFonts w:ascii="Times New Roman" w:eastAsia="Times New Roman" w:hAnsi="Times New Roman" w:cs="Times New Roman"/>
          <w:color w:val="000000"/>
          <w:sz w:val="24"/>
          <w:szCs w:val="24"/>
        </w:rPr>
        <w:t>Mugdha</w:t>
      </w:r>
      <w:proofErr w:type="spellEnd"/>
      <w:r w:rsidRPr="007360FA">
        <w:rPr>
          <w:rFonts w:ascii="Times New Roman" w:eastAsia="Times New Roman" w:hAnsi="Times New Roman" w:cs="Times New Roman"/>
          <w:color w:val="000000"/>
          <w:sz w:val="24"/>
          <w:szCs w:val="24"/>
        </w:rPr>
        <w:t xml:space="preserve"> </w:t>
      </w:r>
      <w:proofErr w:type="spellStart"/>
      <w:r w:rsidRPr="007360FA">
        <w:rPr>
          <w:rFonts w:ascii="Times New Roman" w:eastAsia="Times New Roman" w:hAnsi="Times New Roman" w:cs="Times New Roman"/>
          <w:color w:val="000000"/>
          <w:sz w:val="24"/>
          <w:szCs w:val="24"/>
        </w:rPr>
        <w:t>Galande</w:t>
      </w:r>
      <w:proofErr w:type="spellEnd"/>
      <w:r w:rsidRPr="007360FA">
        <w:rPr>
          <w:rFonts w:ascii="Times New Roman" w:eastAsia="Times New Roman" w:hAnsi="Times New Roman" w:cs="Times New Roman"/>
          <w:color w:val="000000"/>
          <w:sz w:val="24"/>
          <w:szCs w:val="24"/>
        </w:rPr>
        <w:t xml:space="preserve">. 2011. "Keeping "Community" in a Community Land Trust." </w:t>
      </w:r>
      <w:r w:rsidRPr="007360FA">
        <w:rPr>
          <w:rFonts w:ascii="Times New Roman" w:eastAsia="Times New Roman" w:hAnsi="Times New Roman" w:cs="Times New Roman"/>
          <w:i/>
          <w:iCs/>
          <w:color w:val="000000"/>
          <w:sz w:val="24"/>
          <w:szCs w:val="24"/>
        </w:rPr>
        <w:t>National Association of Social Workers</w:t>
      </w:r>
      <w:r w:rsidRPr="007360FA">
        <w:rPr>
          <w:rFonts w:ascii="Times New Roman" w:eastAsia="Times New Roman" w:hAnsi="Times New Roman" w:cs="Times New Roman"/>
          <w:color w:val="000000"/>
          <w:sz w:val="24"/>
          <w:szCs w:val="24"/>
        </w:rPr>
        <w:t xml:space="preserve"> 35 (4):241. p. 241-243.</w:t>
      </w:r>
    </w:p>
    <w:p w:rsidR="007360FA" w:rsidRPr="007360FA" w:rsidRDefault="007360FA" w:rsidP="007360FA">
      <w:pPr>
        <w:spacing w:after="200" w:line="240" w:lineRule="auto"/>
        <w:ind w:left="450" w:hanging="45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 xml:space="preserve">Miller, Stephen R. 2015. "Community Land Trusts: Why </w:t>
      </w:r>
      <w:proofErr w:type="gramStart"/>
      <w:r w:rsidRPr="007360FA">
        <w:rPr>
          <w:rFonts w:ascii="Times New Roman" w:eastAsia="Times New Roman" w:hAnsi="Times New Roman" w:cs="Times New Roman"/>
          <w:color w:val="000000"/>
          <w:sz w:val="24"/>
          <w:szCs w:val="24"/>
        </w:rPr>
        <w:t>Now</w:t>
      </w:r>
      <w:proofErr w:type="gramEnd"/>
      <w:r w:rsidRPr="007360FA">
        <w:rPr>
          <w:rFonts w:ascii="Times New Roman" w:eastAsia="Times New Roman" w:hAnsi="Times New Roman" w:cs="Times New Roman"/>
          <w:color w:val="000000"/>
          <w:sz w:val="24"/>
          <w:szCs w:val="24"/>
        </w:rPr>
        <w:t xml:space="preserve"> is the Time to Integrate this Housing Activists' Tool into Local Government Affordable Housing Policies." </w:t>
      </w:r>
      <w:r w:rsidRPr="007360FA">
        <w:rPr>
          <w:rFonts w:ascii="Times New Roman" w:eastAsia="Times New Roman" w:hAnsi="Times New Roman" w:cs="Times New Roman"/>
          <w:i/>
          <w:iCs/>
          <w:color w:val="000000"/>
          <w:sz w:val="24"/>
          <w:szCs w:val="24"/>
        </w:rPr>
        <w:t>Journal of Affordable Housing &amp; Community Development Law</w:t>
      </w:r>
      <w:r w:rsidRPr="007360FA">
        <w:rPr>
          <w:rFonts w:ascii="Times New Roman" w:eastAsia="Times New Roman" w:hAnsi="Times New Roman" w:cs="Times New Roman"/>
          <w:color w:val="000000"/>
          <w:sz w:val="24"/>
          <w:szCs w:val="24"/>
        </w:rPr>
        <w:t xml:space="preserve"> 23 (3):349.</w:t>
      </w:r>
    </w:p>
    <w:p w:rsidR="007360FA" w:rsidRPr="007360FA" w:rsidRDefault="007360FA" w:rsidP="007360FA">
      <w:pPr>
        <w:spacing w:after="200" w:line="240" w:lineRule="auto"/>
        <w:ind w:left="450" w:hanging="45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lastRenderedPageBreak/>
        <w:t>Pastel, Stacey J. 1991. "Community Land Trusts: A Promising Alternative for Affordable Housing." Journal of Land use &amp; Environmental Law 6 (2):293-320.</w:t>
      </w:r>
    </w:p>
    <w:p w:rsidR="007360FA" w:rsidRPr="007360FA" w:rsidRDefault="007360FA" w:rsidP="007360FA">
      <w:pPr>
        <w:spacing w:after="200" w:line="240" w:lineRule="auto"/>
        <w:ind w:left="450" w:hanging="450"/>
        <w:rPr>
          <w:rFonts w:ascii="Times New Roman" w:eastAsia="Times New Roman" w:hAnsi="Times New Roman" w:cs="Times New Roman"/>
          <w:sz w:val="24"/>
          <w:szCs w:val="24"/>
        </w:rPr>
      </w:pPr>
      <w:proofErr w:type="spellStart"/>
      <w:r w:rsidRPr="007360FA">
        <w:rPr>
          <w:rFonts w:ascii="Times New Roman" w:eastAsia="Times New Roman" w:hAnsi="Times New Roman" w:cs="Times New Roman"/>
          <w:color w:val="000000"/>
          <w:sz w:val="24"/>
          <w:szCs w:val="24"/>
        </w:rPr>
        <w:t>Towey</w:t>
      </w:r>
      <w:proofErr w:type="spellEnd"/>
      <w:r w:rsidRPr="007360FA">
        <w:rPr>
          <w:rFonts w:ascii="Times New Roman" w:eastAsia="Times New Roman" w:hAnsi="Times New Roman" w:cs="Times New Roman"/>
          <w:color w:val="000000"/>
          <w:sz w:val="24"/>
          <w:szCs w:val="24"/>
        </w:rPr>
        <w:t xml:space="preserve">, Matthew. 2009. "The Land Trust without Land: The Unusual Structure of the Chicago Community Land Trust." </w:t>
      </w:r>
      <w:r w:rsidRPr="007360FA">
        <w:rPr>
          <w:rFonts w:ascii="Times New Roman" w:eastAsia="Times New Roman" w:hAnsi="Times New Roman" w:cs="Times New Roman"/>
          <w:i/>
          <w:iCs/>
          <w:color w:val="000000"/>
          <w:sz w:val="24"/>
          <w:szCs w:val="24"/>
        </w:rPr>
        <w:t>Journal of Affordable Housing &amp; Community Development Law</w:t>
      </w:r>
      <w:r w:rsidRPr="007360FA">
        <w:rPr>
          <w:rFonts w:ascii="Times New Roman" w:eastAsia="Times New Roman" w:hAnsi="Times New Roman" w:cs="Times New Roman"/>
          <w:color w:val="000000"/>
          <w:sz w:val="24"/>
          <w:szCs w:val="24"/>
        </w:rPr>
        <w:t xml:space="preserve"> 18 (3):335-362.</w:t>
      </w:r>
    </w:p>
    <w:p w:rsidR="007360FA" w:rsidRPr="007360FA" w:rsidRDefault="007360FA" w:rsidP="007360FA">
      <w:pPr>
        <w:spacing w:after="200" w:line="240" w:lineRule="auto"/>
        <w:ind w:left="460" w:hanging="44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 xml:space="preserve">Turnbull, </w:t>
      </w:r>
      <w:proofErr w:type="spellStart"/>
      <w:r w:rsidRPr="007360FA">
        <w:rPr>
          <w:rFonts w:ascii="Times New Roman" w:eastAsia="Times New Roman" w:hAnsi="Times New Roman" w:cs="Times New Roman"/>
          <w:color w:val="000000"/>
          <w:sz w:val="24"/>
          <w:szCs w:val="24"/>
        </w:rPr>
        <w:t>Shann</w:t>
      </w:r>
      <w:proofErr w:type="spellEnd"/>
      <w:r w:rsidRPr="007360FA">
        <w:rPr>
          <w:rFonts w:ascii="Times New Roman" w:eastAsia="Times New Roman" w:hAnsi="Times New Roman" w:cs="Times New Roman"/>
          <w:color w:val="000000"/>
          <w:sz w:val="24"/>
          <w:szCs w:val="24"/>
        </w:rPr>
        <w:t xml:space="preserve">. 2009. "Affordable Housing Policy: Not Identifiable with Orthodox Economic Analysis." </w:t>
      </w:r>
      <w:r w:rsidRPr="007360FA">
        <w:rPr>
          <w:rFonts w:ascii="Times New Roman" w:eastAsia="Times New Roman" w:hAnsi="Times New Roman" w:cs="Times New Roman"/>
          <w:i/>
          <w:iCs/>
          <w:color w:val="000000"/>
          <w:sz w:val="24"/>
          <w:szCs w:val="24"/>
        </w:rPr>
        <w:t>ICFAI Journal of Urban Policy</w:t>
      </w:r>
      <w:r w:rsidRPr="007360FA">
        <w:rPr>
          <w:rFonts w:ascii="Times New Roman" w:eastAsia="Times New Roman" w:hAnsi="Times New Roman" w:cs="Times New Roman"/>
          <w:color w:val="000000"/>
          <w:sz w:val="24"/>
          <w:szCs w:val="24"/>
        </w:rPr>
        <w:t xml:space="preserve"> </w:t>
      </w:r>
      <w:proofErr w:type="gramStart"/>
      <w:r w:rsidRPr="007360FA">
        <w:rPr>
          <w:rFonts w:ascii="Times New Roman" w:eastAsia="Times New Roman" w:hAnsi="Times New Roman" w:cs="Times New Roman"/>
          <w:color w:val="000000"/>
          <w:sz w:val="24"/>
          <w:szCs w:val="24"/>
        </w:rPr>
        <w:t>4 :</w:t>
      </w:r>
      <w:proofErr w:type="gramEnd"/>
      <w:r w:rsidRPr="007360FA">
        <w:rPr>
          <w:rFonts w:ascii="Times New Roman" w:eastAsia="Times New Roman" w:hAnsi="Times New Roman" w:cs="Times New Roman"/>
          <w:color w:val="000000"/>
          <w:sz w:val="24"/>
          <w:szCs w:val="24"/>
        </w:rPr>
        <w:t>21.</w:t>
      </w:r>
    </w:p>
    <w:p w:rsidR="007360FA" w:rsidRPr="007360FA" w:rsidRDefault="007360FA" w:rsidP="007360FA">
      <w:pPr>
        <w:spacing w:after="200" w:line="240" w:lineRule="auto"/>
        <w:ind w:left="460" w:hanging="44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United States Census Bureau. Historical Income Tables. “</w:t>
      </w:r>
      <w:r w:rsidRPr="007360FA">
        <w:rPr>
          <w:rFonts w:ascii="Times New Roman" w:eastAsia="Times New Roman" w:hAnsi="Times New Roman" w:cs="Times New Roman"/>
          <w:color w:val="333333"/>
          <w:sz w:val="24"/>
          <w:szCs w:val="24"/>
          <w:shd w:val="clear" w:color="auto" w:fill="FFFFFF"/>
        </w:rPr>
        <w:t xml:space="preserve">Table H-6. Regions-by Median and Mean Income. All Races.” </w:t>
      </w:r>
      <w:hyperlink r:id="rId6" w:history="1">
        <w:r w:rsidRPr="007360FA">
          <w:rPr>
            <w:rFonts w:ascii="Times New Roman" w:eastAsia="Times New Roman" w:hAnsi="Times New Roman" w:cs="Times New Roman"/>
            <w:color w:val="1155CC"/>
            <w:sz w:val="24"/>
            <w:szCs w:val="24"/>
            <w:u w:val="single"/>
          </w:rPr>
          <w:t>http://www.census.gov/hhes/www/income/data/historical/household/</w:t>
        </w:r>
      </w:hyperlink>
      <w:r w:rsidRPr="007360FA">
        <w:rPr>
          <w:rFonts w:ascii="Times New Roman" w:eastAsia="Times New Roman" w:hAnsi="Times New Roman" w:cs="Times New Roman"/>
          <w:color w:val="000000"/>
          <w:sz w:val="24"/>
          <w:szCs w:val="24"/>
        </w:rPr>
        <w:t xml:space="preserve"> </w:t>
      </w:r>
    </w:p>
    <w:p w:rsidR="007360FA" w:rsidRPr="007360FA" w:rsidRDefault="007360FA" w:rsidP="007360FA">
      <w:pPr>
        <w:spacing w:after="200" w:line="240" w:lineRule="auto"/>
        <w:ind w:left="360" w:hanging="360"/>
        <w:rPr>
          <w:rFonts w:ascii="Times New Roman" w:eastAsia="Times New Roman" w:hAnsi="Times New Roman" w:cs="Times New Roman"/>
          <w:sz w:val="24"/>
          <w:szCs w:val="24"/>
        </w:rPr>
      </w:pPr>
      <w:r w:rsidRPr="007360FA">
        <w:rPr>
          <w:rFonts w:ascii="Times New Roman" w:eastAsia="Times New Roman" w:hAnsi="Times New Roman" w:cs="Times New Roman"/>
          <w:color w:val="000000"/>
          <w:sz w:val="24"/>
          <w:szCs w:val="24"/>
        </w:rPr>
        <w:t xml:space="preserve">United States Department of Housing and Urban Development, www.hud. </w:t>
      </w:r>
      <w:proofErr w:type="spellStart"/>
      <w:r w:rsidRPr="007360FA">
        <w:rPr>
          <w:rFonts w:ascii="Times New Roman" w:eastAsia="Times New Roman" w:hAnsi="Times New Roman" w:cs="Times New Roman"/>
          <w:color w:val="000000"/>
          <w:sz w:val="24"/>
          <w:szCs w:val="24"/>
        </w:rPr>
        <w:t>gov</w:t>
      </w:r>
      <w:proofErr w:type="spellEnd"/>
      <w:r w:rsidRPr="007360FA">
        <w:rPr>
          <w:rFonts w:ascii="Times New Roman" w:eastAsia="Times New Roman" w:hAnsi="Times New Roman" w:cs="Times New Roman"/>
          <w:color w:val="000000"/>
          <w:sz w:val="24"/>
          <w:szCs w:val="24"/>
        </w:rPr>
        <w:t>/offices/</w:t>
      </w:r>
      <w:proofErr w:type="spellStart"/>
      <w:r w:rsidRPr="007360FA">
        <w:rPr>
          <w:rFonts w:ascii="Times New Roman" w:eastAsia="Times New Roman" w:hAnsi="Times New Roman" w:cs="Times New Roman"/>
          <w:color w:val="000000"/>
          <w:sz w:val="24"/>
          <w:szCs w:val="24"/>
        </w:rPr>
        <w:t>cpd</w:t>
      </w:r>
      <w:proofErr w:type="spellEnd"/>
      <w:r w:rsidRPr="007360FA">
        <w:rPr>
          <w:rFonts w:ascii="Times New Roman" w:eastAsia="Times New Roman" w:hAnsi="Times New Roman" w:cs="Times New Roman"/>
          <w:color w:val="000000"/>
          <w:sz w:val="24"/>
          <w:szCs w:val="24"/>
        </w:rPr>
        <w:t>/</w:t>
      </w:r>
      <w:proofErr w:type="spellStart"/>
      <w:r w:rsidRPr="007360FA">
        <w:rPr>
          <w:rFonts w:ascii="Times New Roman" w:eastAsia="Times New Roman" w:hAnsi="Times New Roman" w:cs="Times New Roman"/>
          <w:color w:val="000000"/>
          <w:sz w:val="24"/>
          <w:szCs w:val="24"/>
        </w:rPr>
        <w:t>affordablehousing</w:t>
      </w:r>
      <w:proofErr w:type="spellEnd"/>
      <w:r w:rsidRPr="007360FA">
        <w:rPr>
          <w:rFonts w:ascii="Times New Roman" w:eastAsia="Times New Roman" w:hAnsi="Times New Roman" w:cs="Times New Roman"/>
          <w:color w:val="000000"/>
          <w:sz w:val="24"/>
          <w:szCs w:val="24"/>
        </w:rPr>
        <w:t>/</w:t>
      </w:r>
      <w:proofErr w:type="spellStart"/>
      <w:r w:rsidRPr="007360FA">
        <w:rPr>
          <w:rFonts w:ascii="Times New Roman" w:eastAsia="Times New Roman" w:hAnsi="Times New Roman" w:cs="Times New Roman"/>
          <w:color w:val="000000"/>
          <w:sz w:val="24"/>
          <w:szCs w:val="24"/>
        </w:rPr>
        <w:t>index.cfm</w:t>
      </w:r>
      <w:proofErr w:type="spellEnd"/>
      <w:r w:rsidRPr="007360FA">
        <w:rPr>
          <w:rFonts w:ascii="Times New Roman" w:eastAsia="Times New Roman" w:hAnsi="Times New Roman" w:cs="Times New Roman"/>
          <w:color w:val="000000"/>
          <w:sz w:val="24"/>
          <w:szCs w:val="24"/>
        </w:rPr>
        <w:t xml:space="preserve"> (last visited Feb. 20, 2009) cited in</w:t>
      </w:r>
      <w:r w:rsidRPr="007360FA">
        <w:rPr>
          <w:rFonts w:ascii="Times New Roman" w:eastAsia="Times New Roman" w:hAnsi="Times New Roman" w:cs="Times New Roman"/>
          <w:b/>
          <w:bCs/>
          <w:color w:val="000000"/>
          <w:sz w:val="24"/>
          <w:szCs w:val="24"/>
        </w:rPr>
        <w:t xml:space="preserve"> </w:t>
      </w:r>
      <w:proofErr w:type="spellStart"/>
      <w:r w:rsidRPr="007360FA">
        <w:rPr>
          <w:rFonts w:ascii="Times New Roman" w:eastAsia="Times New Roman" w:hAnsi="Times New Roman" w:cs="Times New Roman"/>
          <w:color w:val="000000"/>
          <w:sz w:val="24"/>
          <w:szCs w:val="24"/>
        </w:rPr>
        <w:t>Towey</w:t>
      </w:r>
      <w:proofErr w:type="spellEnd"/>
      <w:r w:rsidRPr="007360FA">
        <w:rPr>
          <w:rFonts w:ascii="Times New Roman" w:eastAsia="Times New Roman" w:hAnsi="Times New Roman" w:cs="Times New Roman"/>
          <w:color w:val="000000"/>
          <w:sz w:val="24"/>
          <w:szCs w:val="24"/>
        </w:rPr>
        <w:t xml:space="preserve">, Matthew. 2009. "The Land Trust without Land: The Unusual Structure of the Chicago Community Land Trust." </w:t>
      </w:r>
      <w:r w:rsidRPr="007360FA">
        <w:rPr>
          <w:rFonts w:ascii="Times New Roman" w:eastAsia="Times New Roman" w:hAnsi="Times New Roman" w:cs="Times New Roman"/>
          <w:i/>
          <w:iCs/>
          <w:color w:val="000000"/>
          <w:sz w:val="24"/>
          <w:szCs w:val="24"/>
        </w:rPr>
        <w:t>Journal of Affordable Housing &amp; Community Development Law</w:t>
      </w:r>
      <w:r w:rsidRPr="007360FA">
        <w:rPr>
          <w:rFonts w:ascii="Times New Roman" w:eastAsia="Times New Roman" w:hAnsi="Times New Roman" w:cs="Times New Roman"/>
          <w:color w:val="000000"/>
          <w:sz w:val="24"/>
          <w:szCs w:val="24"/>
        </w:rPr>
        <w:t xml:space="preserve"> 18 (3):335-362. p. 3</w:t>
      </w:r>
    </w:p>
    <w:p w:rsidR="00BF4D72" w:rsidRDefault="007360FA"/>
    <w:sectPr w:rsidR="00BF4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FA"/>
    <w:rsid w:val="001A5854"/>
    <w:rsid w:val="0049520B"/>
    <w:rsid w:val="0073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94DB3-67C3-4057-9106-5104C74B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0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360FA"/>
  </w:style>
  <w:style w:type="character" w:styleId="Hyperlink">
    <w:name w:val="Hyperlink"/>
    <w:basedOn w:val="DefaultParagraphFont"/>
    <w:uiPriority w:val="99"/>
    <w:semiHidden/>
    <w:unhideWhenUsed/>
    <w:rsid w:val="007360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1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sus.gov/hhes/www/income/data/historical/household/" TargetMode="External"/><Relationship Id="rId5" Type="http://schemas.openxmlformats.org/officeDocument/2006/relationships/hyperlink" Target="http://www.bls.gov/cpi/cpid1602.pdf" TargetMode="External"/><Relationship Id="rId4" Type="http://schemas.openxmlformats.org/officeDocument/2006/relationships/hyperlink" Target="http://www.bls.gov/cex/csxmult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3656</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24448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Kuka, Andrew</dc:creator>
  <cp:keywords/>
  <dc:description/>
  <cp:lastModifiedBy>Kuka, Andrew</cp:lastModifiedBy>
  <cp:revision>1</cp:revision>
  <dcterms:created xsi:type="dcterms:W3CDTF">2016-04-08T01:49:00Z</dcterms:created>
  <dcterms:modified xsi:type="dcterms:W3CDTF">2016-04-08T01:53:00Z</dcterms:modified>
</cp:coreProperties>
</file>