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0BE56" w14:textId="77777777" w:rsidR="00943583" w:rsidRDefault="00943583" w:rsidP="00943583"/>
    <w:p w14:paraId="25E2AE8E" w14:textId="77777777" w:rsidR="00943583" w:rsidRDefault="00943583" w:rsidP="00943583"/>
    <w:p w14:paraId="044F31BD" w14:textId="77777777" w:rsidR="00943583" w:rsidRDefault="00943583" w:rsidP="00943583"/>
    <w:p w14:paraId="6D33E351" w14:textId="77777777" w:rsidR="00943583" w:rsidRDefault="00943583" w:rsidP="00943583"/>
    <w:p w14:paraId="70AE36F7" w14:textId="77777777" w:rsidR="00943583" w:rsidRDefault="00943583" w:rsidP="00943583">
      <w:bookmarkStart w:id="0" w:name="_GoBack"/>
      <w:bookmarkEnd w:id="0"/>
    </w:p>
    <w:p w14:paraId="67661EE5" w14:textId="77777777" w:rsidR="00943583" w:rsidRDefault="00943583" w:rsidP="00943583"/>
    <w:p w14:paraId="19CBF981" w14:textId="1F1545D1" w:rsidR="00943583" w:rsidRDefault="00943583" w:rsidP="00943583">
      <w:pPr>
        <w:jc w:val="center"/>
      </w:pPr>
      <w:r>
        <w:t>Fomenting Rebellion</w:t>
      </w:r>
      <w:r w:rsidRPr="00943583">
        <w:t>: A Rare Events Analysis of How Access to Power Affects Ethnopolitical Violence</w:t>
      </w:r>
    </w:p>
    <w:p w14:paraId="46A0159E" w14:textId="77777777" w:rsidR="00781EC3" w:rsidRDefault="00781EC3" w:rsidP="00943583">
      <w:pPr>
        <w:jc w:val="center"/>
      </w:pPr>
    </w:p>
    <w:p w14:paraId="066A21A6" w14:textId="77777777" w:rsidR="00781EC3" w:rsidRDefault="00781EC3" w:rsidP="00943583">
      <w:pPr>
        <w:jc w:val="center"/>
      </w:pPr>
    </w:p>
    <w:p w14:paraId="51E28B8B" w14:textId="38D5B4D3" w:rsidR="00781EC3" w:rsidRDefault="00781EC3" w:rsidP="00943583">
      <w:pPr>
        <w:jc w:val="center"/>
      </w:pPr>
      <w:r>
        <w:t>Kirk Richardson</w:t>
      </w:r>
    </w:p>
    <w:p w14:paraId="7B103BDE" w14:textId="7986E22F" w:rsidR="00781EC3" w:rsidRPr="00943583" w:rsidRDefault="00781EC3" w:rsidP="00943583">
      <w:pPr>
        <w:jc w:val="center"/>
      </w:pPr>
      <w:r>
        <w:t>Illinois State University</w:t>
      </w:r>
    </w:p>
    <w:p w14:paraId="1B14C45E" w14:textId="77777777" w:rsidR="00943583" w:rsidRDefault="00943583" w:rsidP="00943583"/>
    <w:p w14:paraId="06BDF95B" w14:textId="77777777" w:rsidR="00943583" w:rsidRDefault="00943583" w:rsidP="00943583"/>
    <w:p w14:paraId="0EF40412" w14:textId="77777777" w:rsidR="00943583" w:rsidRPr="00943583" w:rsidRDefault="00943583" w:rsidP="00943583"/>
    <w:p w14:paraId="5A12B44C" w14:textId="0CFFC1A0" w:rsidR="00943583" w:rsidRPr="00943583" w:rsidRDefault="00943583" w:rsidP="00943583">
      <w:pPr>
        <w:spacing w:line="259" w:lineRule="auto"/>
        <w:rPr>
          <w:rFonts w:eastAsiaTheme="majorEastAsia" w:cstheme="majorBidi"/>
          <w:b/>
          <w:sz w:val="28"/>
          <w:szCs w:val="32"/>
        </w:rPr>
      </w:pPr>
      <w:r>
        <w:br w:type="page"/>
      </w:r>
    </w:p>
    <w:p w14:paraId="0EB130CF" w14:textId="77777777" w:rsidR="003D28F1" w:rsidRDefault="00474917" w:rsidP="00980C8E">
      <w:pPr>
        <w:pStyle w:val="Heading1"/>
        <w:tabs>
          <w:tab w:val="left" w:pos="7095"/>
        </w:tabs>
      </w:pPr>
      <w:r>
        <w:lastRenderedPageBreak/>
        <w:t>I. Introduction</w:t>
      </w:r>
      <w:r w:rsidR="00D60A39">
        <w:tab/>
      </w:r>
    </w:p>
    <w:p w14:paraId="3EAA27A0" w14:textId="2BF7F054" w:rsidR="003D28F1" w:rsidRPr="003D28F1" w:rsidRDefault="003D28F1" w:rsidP="00866D4A">
      <w:pPr>
        <w:ind w:firstLine="720"/>
        <w:contextualSpacing/>
      </w:pPr>
      <w:r w:rsidRPr="003D28F1">
        <w:t>The drivers of ethnic conflict have long been debated in the academic literature. Some schools of thought see such conflict as the inevitable result of historical divides along ethnic, religious, linguistic, or cultural lines. Others claim particularist identities are irrelevant and argue that ethnic conflict stems from political opportunism within weak states. In such cases, ethnolinguistic and religious identities are argued to contribute only insofar as they are useful in mobilizing insurgents against the state. Those in the relative deprivation camp emphasize the role of discontent ex</w:t>
      </w:r>
      <w:r w:rsidR="00A638C4">
        <w:t xml:space="preserve">perienced by minority groups and attempt to delineate specific conditions that engender </w:t>
      </w:r>
      <w:r w:rsidRPr="003D28F1">
        <w:t>confli</w:t>
      </w:r>
      <w:r w:rsidR="00371EFF">
        <w:t>ct. Fewer, however, have examin</w:t>
      </w:r>
      <w:r w:rsidR="00D45DC9">
        <w:t xml:space="preserve">ed the impact of government inclusiveness on </w:t>
      </w:r>
      <w:r w:rsidR="00866D4A">
        <w:t>types</w:t>
      </w:r>
      <w:r w:rsidR="00D45DC9">
        <w:t xml:space="preserve"> of conflict.</w:t>
      </w:r>
    </w:p>
    <w:p w14:paraId="20BF0855" w14:textId="2D6898CA" w:rsidR="003D28F1" w:rsidRPr="003D28F1" w:rsidRDefault="00866D4A" w:rsidP="003D28F1">
      <w:pPr>
        <w:ind w:firstLine="720"/>
      </w:pPr>
      <w:r>
        <w:t>While others have argued</w:t>
      </w:r>
      <w:r w:rsidR="003D28F1" w:rsidRPr="003D28F1">
        <w:t xml:space="preserve"> that exclusion from the polity increases the probability </w:t>
      </w:r>
      <w:r>
        <w:t>that insurgent groups will take up arms</w:t>
      </w:r>
      <w:r w:rsidR="003D28F1" w:rsidRPr="003D28F1">
        <w:t xml:space="preserve">, few quantitative studies use a dependent variable that distinguishes between the political </w:t>
      </w:r>
      <w:r w:rsidR="00310CC0" w:rsidRPr="003D28F1">
        <w:t>statuses</w:t>
      </w:r>
      <w:r w:rsidR="003D28F1" w:rsidRPr="003D28F1">
        <w:t xml:space="preserve"> of the groups that initiate hostilities. </w:t>
      </w:r>
      <w:r>
        <w:t>Th</w:t>
      </w:r>
      <w:r w:rsidR="003D28F1" w:rsidRPr="003D28F1">
        <w:t>rough the inclusion of new data and mor</w:t>
      </w:r>
      <w:r w:rsidR="00A638C4">
        <w:t>e robust statistical tests that</w:t>
      </w:r>
      <w:r w:rsidR="003D28F1" w:rsidRPr="003D28F1">
        <w:t xml:space="preserve"> better account for the relatively rare incident of conflict in an otherwise large </w:t>
      </w:r>
      <w:r>
        <w:t>data set, this research adds to the ongoing debate.</w:t>
      </w:r>
      <w:r w:rsidR="00B419D7">
        <w:t xml:space="preserve"> </w:t>
      </w:r>
    </w:p>
    <w:p w14:paraId="5BAF6B3C" w14:textId="6DBE4CAF" w:rsidR="003D28F1" w:rsidRDefault="003D28F1" w:rsidP="00597265">
      <w:pPr>
        <w:ind w:firstLine="720"/>
      </w:pPr>
      <w:r w:rsidRPr="003D28F1">
        <w:t xml:space="preserve">A clearer understanding of why certain groups engage in hostilities will be of interest to both academics </w:t>
      </w:r>
      <w:r w:rsidR="00B419D7">
        <w:t>and policymakers. Particularly, determining whether (1) excluded groups are more likely to rebel because they are excluded from the government, and (2) if power sharers are more likely to engage in armed conflict in fragmented governments</w:t>
      </w:r>
      <w:r w:rsidR="00B419D7" w:rsidRPr="003D28F1">
        <w:t xml:space="preserve"> </w:t>
      </w:r>
      <w:r w:rsidRPr="003D28F1">
        <w:t xml:space="preserve">will provide practical insight into the prediction </w:t>
      </w:r>
      <w:r w:rsidR="00310CC0" w:rsidRPr="003D28F1">
        <w:t>of future</w:t>
      </w:r>
      <w:r w:rsidRPr="003D28F1">
        <w:t xml:space="preserve"> conflicts. Such knowledge will be of assistance in the development of preventative statec</w:t>
      </w:r>
      <w:r w:rsidR="00B419D7">
        <w:t xml:space="preserve">raft and in the programmatic design of NGOs in order </w:t>
      </w:r>
      <w:r w:rsidRPr="003D28F1">
        <w:t>to promote regimes that are both stable and inclusive</w:t>
      </w:r>
      <w:r w:rsidR="00B419D7">
        <w:t xml:space="preserve">. </w:t>
      </w:r>
    </w:p>
    <w:p w14:paraId="73B1CC23" w14:textId="77777777" w:rsidR="001D3B5F" w:rsidRPr="00310CC0" w:rsidRDefault="001D3B5F" w:rsidP="001D3B5F">
      <w:pPr>
        <w:rPr>
          <w:sz w:val="28"/>
          <w:u w:val="single"/>
        </w:rPr>
      </w:pPr>
      <w:r w:rsidRPr="00310CC0">
        <w:rPr>
          <w:sz w:val="28"/>
          <w:u w:val="single"/>
        </w:rPr>
        <w:t>Does ethnic identity matter?</w:t>
      </w:r>
    </w:p>
    <w:p w14:paraId="06F157C6" w14:textId="66C81414" w:rsidR="0010564E" w:rsidRDefault="00EA07F0" w:rsidP="0010564E">
      <w:pPr>
        <w:ind w:firstLine="720"/>
      </w:pPr>
      <w:r>
        <w:lastRenderedPageBreak/>
        <w:t xml:space="preserve"> Primordialism maintains that ethnic identity, as a deeply </w:t>
      </w:r>
      <w:r w:rsidR="00A37727">
        <w:t xml:space="preserve">ingrained historical </w:t>
      </w:r>
      <w:r>
        <w:t xml:space="preserve">phenomenon, is the most important </w:t>
      </w:r>
      <w:r w:rsidR="00866D4A">
        <w:t>determinant</w:t>
      </w:r>
      <w:r>
        <w:t xml:space="preserve"> of ethnic </w:t>
      </w:r>
      <w:r w:rsidR="00866D4A">
        <w:t>conflict</w:t>
      </w:r>
      <w:r>
        <w:t>. In this view, modernization increases the likelihood of rebellion by posing a challenge to the culture of minority groups (Gurr and Harff 1994).</w:t>
      </w:r>
      <w:r>
        <w:rPr>
          <w:rStyle w:val="FootnoteReference"/>
        </w:rPr>
        <w:footnoteReference w:id="1"/>
      </w:r>
      <w:r>
        <w:t xml:space="preserve"> </w:t>
      </w:r>
      <w:r w:rsidR="00814DA1">
        <w:t>Thus, the “</w:t>
      </w:r>
      <w:r w:rsidR="00310CC0">
        <w:t>B</w:t>
      </w:r>
      <w:r w:rsidR="00F13CAA">
        <w:t>alkan ghosts” extending from the</w:t>
      </w:r>
      <w:r w:rsidR="00310CC0">
        <w:t xml:space="preserve"> </w:t>
      </w:r>
      <w:r w:rsidR="00814DA1">
        <w:t xml:space="preserve">fourteenth century, the medieval caste system which subordinated Hutus to Tutsis in modern day Rwanda, and precolonial Somali clan rivalries are </w:t>
      </w:r>
      <w:r w:rsidR="00F13CAA">
        <w:t>cited as primary c</w:t>
      </w:r>
      <w:r w:rsidR="00814DA1">
        <w:t>auses of political violence for scholars in this camp (Jentleson 2004, 466).</w:t>
      </w:r>
      <w:r w:rsidR="0010564E">
        <w:t xml:space="preserve"> These scholars often cite degrees of separation—such as cultural, linguistic, and religious differences—between ethnic groups as predicto</w:t>
      </w:r>
      <w:r w:rsidR="001E417C">
        <w:t>rs of conflict (Huntington 1996</w:t>
      </w:r>
      <w:r w:rsidR="0010564E">
        <w:t>)</w:t>
      </w:r>
      <w:r w:rsidR="00AA431E">
        <w:t>.</w:t>
      </w:r>
    </w:p>
    <w:p w14:paraId="73C1008C" w14:textId="4491DCAF" w:rsidR="00310CC0" w:rsidRDefault="00310CC0" w:rsidP="009E22F9">
      <w:pPr>
        <w:ind w:firstLine="720"/>
      </w:pPr>
      <w:r>
        <w:t>The influence of primordialism often manifests in the quantitative li</w:t>
      </w:r>
      <w:r w:rsidR="00F13CAA">
        <w:t xml:space="preserve">terature as </w:t>
      </w:r>
      <w:r w:rsidR="000D7338">
        <w:t xml:space="preserve">statistical </w:t>
      </w:r>
      <w:r w:rsidR="00F13CAA">
        <w:t>control</w:t>
      </w:r>
      <w:r w:rsidR="000D7338">
        <w:t xml:space="preserve"> (or primary explanatory) variables in the form of ethno-demographic measures. However,</w:t>
      </w:r>
      <w:r w:rsidR="00F13CAA">
        <w:t xml:space="preserve"> findings regarding the relative significance of such variables are inconclusive</w:t>
      </w:r>
      <w:r>
        <w:t>.</w:t>
      </w:r>
      <w:r w:rsidR="0030696F">
        <w:t xml:space="preserve">  For example, </w:t>
      </w:r>
      <w:r w:rsidR="009E22F9">
        <w:t>Fearon and Laitin (2003) and Sambanis (2001</w:t>
      </w:r>
      <w:r>
        <w:t>)</w:t>
      </w:r>
      <w:r w:rsidR="003472D9">
        <w:t xml:space="preserve"> </w:t>
      </w:r>
      <w:r>
        <w:t>found that ethnic fractionalization, measured as the likelihood of two randomly selected people speaking the same language,</w:t>
      </w:r>
      <w:r w:rsidR="003472D9">
        <w:t xml:space="preserve"> did not increase the probability of high intensity conflict</w:t>
      </w:r>
      <w:r w:rsidR="00F13CAA">
        <w:t xml:space="preserve"> when controlling for GDP per capita</w:t>
      </w:r>
      <w:r>
        <w:t xml:space="preserve">. </w:t>
      </w:r>
      <w:r w:rsidR="00F13CAA">
        <w:t>Similarly, Mousseau (2001) found ethnic heterogeneity to have an insignificant impact on political violence when controlling for regime type. However, Esteban and Ray (2008) found</w:t>
      </w:r>
      <w:r w:rsidR="003472D9">
        <w:t xml:space="preserve"> highly polarized (based on a measure of intergroup antagonism) societies</w:t>
      </w:r>
      <w:r w:rsidR="00F13CAA">
        <w:t xml:space="preserve"> to be</w:t>
      </w:r>
      <w:r w:rsidR="003472D9">
        <w:t xml:space="preserve"> less prone to conflict</w:t>
      </w:r>
      <w:r w:rsidR="00AD3FFE">
        <w:t xml:space="preserve"> overall</w:t>
      </w:r>
      <w:r w:rsidR="003472D9">
        <w:t xml:space="preserve">, though more likely to experience </w:t>
      </w:r>
      <w:r w:rsidR="00F13CAA">
        <w:t>high intensity conflict. Conversely,</w:t>
      </w:r>
      <w:r w:rsidR="003472D9">
        <w:t xml:space="preserve"> </w:t>
      </w:r>
      <w:r w:rsidR="00AD3FFE">
        <w:t xml:space="preserve">Mousseau (2001) found </w:t>
      </w:r>
      <w:r w:rsidR="003472D9">
        <w:t>highly fra</w:t>
      </w:r>
      <w:r w:rsidR="00AD3FFE">
        <w:t>ctionalized societies</w:t>
      </w:r>
      <w:r w:rsidR="003472D9">
        <w:t xml:space="preserve"> to be more prone </w:t>
      </w:r>
      <w:r w:rsidR="00F13CAA">
        <w:t xml:space="preserve">conflict generally, albeit </w:t>
      </w:r>
      <w:r w:rsidR="003472D9">
        <w:t>to lower intensity conflict</w:t>
      </w:r>
      <w:r w:rsidR="00AD3FFE">
        <w:t>.  Representative of quantitative studies emphasizing the role of religion,</w:t>
      </w:r>
      <w:r w:rsidR="00DE3B5A">
        <w:t xml:space="preserve"> Fox (2003</w:t>
      </w:r>
      <w:r w:rsidR="00F13CAA">
        <w:t xml:space="preserve">) </w:t>
      </w:r>
      <w:r w:rsidR="00F13CAA">
        <w:lastRenderedPageBreak/>
        <w:t>found</w:t>
      </w:r>
      <w:r w:rsidR="003472D9">
        <w:t xml:space="preserve"> that </w:t>
      </w:r>
      <w:r w:rsidR="00916258">
        <w:t xml:space="preserve">while religion is not the primary cause of ethnic rebellion, it does impact the likelihood of rebellion and can significantly intensify pre-existing conflicts. </w:t>
      </w:r>
    </w:p>
    <w:p w14:paraId="4E3EEED9" w14:textId="183AE34D" w:rsidR="00C53F76" w:rsidRDefault="00AD3FFE" w:rsidP="00916258">
      <w:pPr>
        <w:ind w:firstLine="720"/>
      </w:pPr>
      <w:r>
        <w:t>While the primordialist literature is both extensive and extant in contemporary debate</w:t>
      </w:r>
      <w:r w:rsidR="009E22F9">
        <w:t>, m</w:t>
      </w:r>
      <w:r w:rsidR="00AA431E">
        <w:t>ost current scholarship takes an instrumentalist or “purposive</w:t>
      </w:r>
      <w:r>
        <w:t xml:space="preserve">” view of ethnic identification. The instrumentalist perspective </w:t>
      </w:r>
      <w:r w:rsidR="00AA431E">
        <w:t xml:space="preserve">deemphasizes historical ethnonational disputes and the </w:t>
      </w:r>
      <w:r w:rsidR="007F7972">
        <w:t xml:space="preserve">presumed </w:t>
      </w:r>
      <w:r w:rsidR="00AA431E">
        <w:t>rigidity of ethnic identities</w:t>
      </w:r>
      <w:r>
        <w:t xml:space="preserve">, and instead focuses on how ethnicity is used to mobilize insurgents, or to exacerbate existing divides (Jentleson 2004, 466). </w:t>
      </w:r>
      <w:r w:rsidR="0063272F">
        <w:t>Within the academ</w:t>
      </w:r>
      <w:r w:rsidR="003E1DD2">
        <w:t>ic literature, this broad perspective is divided among a number of competing theories regarding the particular function ethnicity plays in generating conflict. While some focus on the role of shared identities in uniting groups around grievances against the s</w:t>
      </w:r>
      <w:r w:rsidR="00D56896">
        <w:t>tate, others argue grievances are</w:t>
      </w:r>
      <w:r w:rsidR="003E1DD2">
        <w:t xml:space="preserve"> far less important than </w:t>
      </w:r>
      <w:r w:rsidR="00D56896">
        <w:t xml:space="preserve">the </w:t>
      </w:r>
      <w:r w:rsidR="003E1DD2">
        <w:t>structural conditions that contribute to the dur</w:t>
      </w:r>
      <w:r w:rsidR="00D56896">
        <w:t xml:space="preserve">ability of regimes. And within this latter perspective, some </w:t>
      </w:r>
      <w:r w:rsidR="003E1DD2">
        <w:t>have nuanced structural arguments by focusing on regime type</w:t>
      </w:r>
      <w:r w:rsidR="00D56896">
        <w:t xml:space="preserve"> or government composition</w:t>
      </w:r>
      <w:r w:rsidR="003E1DD2">
        <w:t xml:space="preserve"> rather than socioeconomic </w:t>
      </w:r>
      <w:r w:rsidR="00530175">
        <w:t>and geography-</w:t>
      </w:r>
      <w:r w:rsidR="003E1DD2">
        <w:t>based conceptions of state structure and strength.</w:t>
      </w:r>
    </w:p>
    <w:p w14:paraId="5F5DDB90" w14:textId="77777777" w:rsidR="009E22F9" w:rsidRPr="00916258" w:rsidRDefault="009E22F9" w:rsidP="009E22F9">
      <w:pPr>
        <w:rPr>
          <w:sz w:val="28"/>
          <w:szCs w:val="28"/>
          <w:u w:val="single"/>
        </w:rPr>
      </w:pPr>
      <w:r w:rsidRPr="00916258">
        <w:rPr>
          <w:sz w:val="28"/>
          <w:szCs w:val="28"/>
          <w:u w:val="single"/>
        </w:rPr>
        <w:t>Developing a model</w:t>
      </w:r>
    </w:p>
    <w:p w14:paraId="2EBD1042" w14:textId="2FD799D9" w:rsidR="003C3F12" w:rsidRDefault="00C53F76" w:rsidP="003C3F12">
      <w:pPr>
        <w:ind w:firstLine="720"/>
      </w:pPr>
      <w:r>
        <w:t xml:space="preserve">Having moved away from the deterministic perspective of ethnicity, a significant amount of research focuses on the specific conditions under which minority groups will mobilize against the state. </w:t>
      </w:r>
      <w:r w:rsidR="00344B82">
        <w:t xml:space="preserve">Advancing a relative deprivation hypothesis, </w:t>
      </w:r>
      <w:r w:rsidR="00EA07F0">
        <w:t xml:space="preserve">Gurr </w:t>
      </w:r>
      <w:r w:rsidR="00D56896">
        <w:t xml:space="preserve">and others </w:t>
      </w:r>
      <w:r w:rsidR="00EA07F0">
        <w:t xml:space="preserve">(1970, </w:t>
      </w:r>
      <w:r w:rsidR="00530175">
        <w:t>1993, 2000; Gurr and Moore 1997</w:t>
      </w:r>
      <w:r w:rsidR="007F7972">
        <w:t>)</w:t>
      </w:r>
      <w:r w:rsidR="003F3DDD">
        <w:t xml:space="preserve"> </w:t>
      </w:r>
      <w:r w:rsidR="00D56896">
        <w:t>posit</w:t>
      </w:r>
      <w:r w:rsidR="003F3DDD">
        <w:t xml:space="preserve"> </w:t>
      </w:r>
      <w:r w:rsidR="00EA07F0">
        <w:t xml:space="preserve">that income inequality, economic modernization, regime repressiveness, and </w:t>
      </w:r>
      <w:r w:rsidR="003C3F12">
        <w:t xml:space="preserve">political and cultural </w:t>
      </w:r>
      <w:r w:rsidR="00EA07F0">
        <w:t xml:space="preserve">discrimination against ethnic groups fosters grievances which in turn increase the likelihood that minority groups will rebel. </w:t>
      </w:r>
      <w:r w:rsidR="003F3DDD">
        <w:t xml:space="preserve">This aggregate-psychological perspective </w:t>
      </w:r>
      <w:r w:rsidR="00916258">
        <w:t xml:space="preserve">blends with resource mobilization theory and  </w:t>
      </w:r>
      <w:r w:rsidR="003F3DDD">
        <w:t>rests fundamentally</w:t>
      </w:r>
      <w:r w:rsidR="007F7972">
        <w:t xml:space="preserve"> on the assumption</w:t>
      </w:r>
      <w:r w:rsidR="003F3DDD">
        <w:t xml:space="preserve"> that ethnic </w:t>
      </w:r>
      <w:r w:rsidR="003F3DDD">
        <w:lastRenderedPageBreak/>
        <w:t>groups rebel when they are angry because of a perceived inequality, particularly when there are also practic</w:t>
      </w:r>
      <w:r w:rsidR="002B12E1">
        <w:t>al and cultural conditions that</w:t>
      </w:r>
      <w:r w:rsidR="003F3DDD">
        <w:t xml:space="preserve"> support rebellion (Skocpol 1979; Tarrow 2011</w:t>
      </w:r>
      <w:r w:rsidR="00CF3CED">
        <w:t xml:space="preserve">). </w:t>
      </w:r>
    </w:p>
    <w:p w14:paraId="262591DD" w14:textId="3C338590" w:rsidR="00CF3CED" w:rsidRDefault="00D56896" w:rsidP="00530175">
      <w:pPr>
        <w:ind w:firstLine="720"/>
      </w:pPr>
      <w:r>
        <w:t>However, s</w:t>
      </w:r>
      <w:r w:rsidR="00530175">
        <w:t>ince</w:t>
      </w:r>
      <w:r w:rsidR="00D0787A">
        <w:t xml:space="preserve"> grievances are widespread and mass conflict</w:t>
      </w:r>
      <w:r w:rsidR="0030696F">
        <w:t>s are</w:t>
      </w:r>
      <w:r w:rsidR="00D0787A">
        <w:t xml:space="preserve"> proportionally rare, </w:t>
      </w:r>
      <w:r w:rsidR="003C3F12">
        <w:t>grievance-based approaches are often combined wit</w:t>
      </w:r>
      <w:r w:rsidR="00470741">
        <w:t xml:space="preserve">h resource mobilization theory. More fully addressing the practical and cultural support aspect, resource mobilization theory </w:t>
      </w:r>
      <w:r w:rsidR="003C3F12">
        <w:t xml:space="preserve">assumes variance in leadership, organization, and access to resources better explains why some groups rebel. Thus, scholars have studied settlement patterns </w:t>
      </w:r>
      <w:r w:rsidR="002B12E1">
        <w:t>that</w:t>
      </w:r>
      <w:r w:rsidR="00D0787A">
        <w:t xml:space="preserve"> allow minorities to mobilize more effectively (Toft 2003),</w:t>
      </w:r>
      <w:r w:rsidR="00470741">
        <w:t xml:space="preserve"> have analyzed</w:t>
      </w:r>
      <w:r w:rsidR="00D0787A">
        <w:t xml:space="preserve"> international contexts supporti</w:t>
      </w:r>
      <w:r w:rsidR="00F153F1">
        <w:t xml:space="preserve">ve of mobilization (Olzak 2006), and have </w:t>
      </w:r>
      <w:r w:rsidR="00D0787A">
        <w:t>revised theories to account for mobilization capac</w:t>
      </w:r>
      <w:r w:rsidR="00F153F1">
        <w:t>ity (Muller and Seligson 1987).</w:t>
      </w:r>
      <w:r w:rsidR="00530175">
        <w:t xml:space="preserve"> However, s</w:t>
      </w:r>
      <w:r w:rsidR="007D01DB">
        <w:t xml:space="preserve">uch grievance-based mechanisms have been deemphasized in recent statistical examinations of civil war onset and other forms of </w:t>
      </w:r>
      <w:r w:rsidR="007F7972">
        <w:t>ethno</w:t>
      </w:r>
      <w:r w:rsidR="007D01DB">
        <w:t>political violence. The increasi</w:t>
      </w:r>
      <w:r w:rsidR="00F153F1">
        <w:t xml:space="preserve">ngly common logic is that </w:t>
      </w:r>
      <w:r w:rsidR="002B12E1">
        <w:t xml:space="preserve">while </w:t>
      </w:r>
      <w:r w:rsidR="007D01DB">
        <w:t>ethnic</w:t>
      </w:r>
      <w:r w:rsidR="002B12E1">
        <w:t xml:space="preserve"> grievances are widespread, </w:t>
      </w:r>
      <w:r w:rsidR="007F7972">
        <w:t xml:space="preserve">the </w:t>
      </w:r>
      <w:r w:rsidR="007D01DB">
        <w:t>event of mass political violence is rare</w:t>
      </w:r>
      <w:r w:rsidR="002B12E1">
        <w:t xml:space="preserve">, </w:t>
      </w:r>
      <w:r w:rsidR="00F153F1">
        <w:t>and proxy measures of resource mobilization such as population density are insufficient in explaining the gap</w:t>
      </w:r>
      <w:r w:rsidR="007D01DB">
        <w:t xml:space="preserve"> (Cederman, Wimmer, and Min 2010; </w:t>
      </w:r>
      <w:r w:rsidR="002B12E1">
        <w:t>Muller and Sel</w:t>
      </w:r>
      <w:r w:rsidR="00C57501">
        <w:t>igson 1987). Additionally, many view grievance-based hypotheses as failing to account for the capacity of the state</w:t>
      </w:r>
      <w:r w:rsidR="00470741">
        <w:t>,</w:t>
      </w:r>
      <w:r w:rsidR="00C57501">
        <w:t xml:space="preserve"> or for the fact that insurgents are rational actors</w:t>
      </w:r>
      <w:r w:rsidR="00F52646">
        <w:t xml:space="preserve"> (Sambanis 2001</w:t>
      </w:r>
      <w:r w:rsidR="00470741">
        <w:t>)</w:t>
      </w:r>
      <w:r w:rsidR="00C57501">
        <w:t xml:space="preserve">. </w:t>
      </w:r>
      <w:r w:rsidR="002B12E1">
        <w:t>Consequently</w:t>
      </w:r>
      <w:r w:rsidR="00C57501">
        <w:t>, the case is often made that</w:t>
      </w:r>
      <w:r w:rsidR="00F153F1">
        <w:t xml:space="preserve"> </w:t>
      </w:r>
      <w:r w:rsidR="007F7972">
        <w:t>additional var</w:t>
      </w:r>
      <w:r w:rsidR="002B12E1">
        <w:t>iables are needed to explain why</w:t>
      </w:r>
      <w:r w:rsidR="007F7972">
        <w:t xml:space="preserve"> some groups move from grievance to armed conflict and others do not.</w:t>
      </w:r>
    </w:p>
    <w:p w14:paraId="3C425C60" w14:textId="226C0827" w:rsidR="00470741" w:rsidRDefault="00470741" w:rsidP="00470741">
      <w:pPr>
        <w:ind w:firstLine="720"/>
      </w:pPr>
      <w:r>
        <w:t>Fear</w:t>
      </w:r>
      <w:r w:rsidR="009F1DFE">
        <w:t xml:space="preserve">on and Laitin (1996; </w:t>
      </w:r>
      <w:r w:rsidR="00764D64">
        <w:t>2003</w:t>
      </w:r>
      <w:r w:rsidR="009E27A9">
        <w:t xml:space="preserve">) propose </w:t>
      </w:r>
      <w:r w:rsidR="00F153F1">
        <w:t>that conflict occurs when states are</w:t>
      </w:r>
      <w:r w:rsidR="00764D64">
        <w:t xml:space="preserve"> weak and that structural variables such as rough terrain, a d</w:t>
      </w:r>
      <w:r w:rsidR="002B12E1">
        <w:t>iminished central government, and</w:t>
      </w:r>
      <w:r w:rsidR="00764D64">
        <w:t xml:space="preserve"> support from outside states increase the likelihood of conflict.</w:t>
      </w:r>
      <w:r w:rsidR="00525621">
        <w:t xml:space="preserve"> </w:t>
      </w:r>
      <w:r w:rsidR="009E27A9">
        <w:t xml:space="preserve">Their insurgency model </w:t>
      </w:r>
      <w:r w:rsidR="00525621">
        <w:t>measure</w:t>
      </w:r>
      <w:r w:rsidR="009E27A9">
        <w:t>s</w:t>
      </w:r>
      <w:r w:rsidR="00525621">
        <w:t xml:space="preserve"> the strength of</w:t>
      </w:r>
      <w:r w:rsidR="009E27A9">
        <w:t xml:space="preserve"> the central government</w:t>
      </w:r>
      <w:r w:rsidR="00525621">
        <w:t xml:space="preserve"> through proxy v</w:t>
      </w:r>
      <w:r w:rsidR="002B12E1">
        <w:t xml:space="preserve">ariables such as GDP per capita, </w:t>
      </w:r>
      <w:r w:rsidR="00525621">
        <w:t xml:space="preserve">the age of the state, the size of the population, and whether the state is an oil exporter. </w:t>
      </w:r>
      <w:r w:rsidR="002B12E1">
        <w:t>With the ex</w:t>
      </w:r>
      <w:r w:rsidR="0069696E">
        <w:t xml:space="preserve">ception </w:t>
      </w:r>
      <w:r w:rsidR="0069696E">
        <w:lastRenderedPageBreak/>
        <w:t>of population size, Fearon and Laitin</w:t>
      </w:r>
      <w:r w:rsidR="009E27A9">
        <w:t xml:space="preserve"> (2003)</w:t>
      </w:r>
      <w:r w:rsidR="0069696E">
        <w:t xml:space="preserve"> </w:t>
      </w:r>
      <w:r w:rsidR="002B12E1">
        <w:t xml:space="preserve">find all of these variables positively associated with the strength of the state. In contrast, population size is theorized as negatively correlated with state strength and found to be a significant predictor of conflict. </w:t>
      </w:r>
      <w:r w:rsidR="00525621">
        <w:t xml:space="preserve">While Fearon and Laitin do not argue that ethnicity is irrelevant, they claim it is </w:t>
      </w:r>
      <w:r w:rsidR="0069696E">
        <w:t>a relatively unimportant</w:t>
      </w:r>
      <w:r w:rsidR="00525621">
        <w:t xml:space="preserve"> driver of ethnic conflict. </w:t>
      </w:r>
      <w:r w:rsidR="006F106D">
        <w:t xml:space="preserve">However, Fearon and Laitin </w:t>
      </w:r>
      <w:r w:rsidR="00525621">
        <w:t>do leave spac</w:t>
      </w:r>
      <w:r w:rsidR="006F106D">
        <w:t>e for further examination</w:t>
      </w:r>
      <w:r w:rsidR="00525621">
        <w:t xml:space="preserve"> of how ethnicity contributes to preference formation on the part of the state and competing groups.</w:t>
      </w:r>
      <w:r w:rsidR="006F106D">
        <w:t xml:space="preserve"> </w:t>
      </w:r>
    </w:p>
    <w:p w14:paraId="29CD8912" w14:textId="45360ACB" w:rsidR="00F153F1" w:rsidRDefault="006F106D" w:rsidP="00470741">
      <w:pPr>
        <w:ind w:firstLine="720"/>
      </w:pPr>
      <w:r>
        <w:t xml:space="preserve">The idea of preference formation turns on the notion that </w:t>
      </w:r>
      <w:r w:rsidR="009E27A9">
        <w:t xml:space="preserve">politicized ethnicity functions </w:t>
      </w:r>
      <w:r>
        <w:t xml:space="preserve">like an intense version of an interest group. </w:t>
      </w:r>
      <w:r w:rsidR="003D04A7">
        <w:t>T</w:t>
      </w:r>
      <w:r>
        <w:t xml:space="preserve">his conceptualization of ethnicity is based on </w:t>
      </w:r>
      <w:r w:rsidRPr="006F106D">
        <w:rPr>
          <w:color w:val="000000"/>
        </w:rPr>
        <w:t>Rabushka</w:t>
      </w:r>
      <w:r>
        <w:rPr>
          <w:color w:val="000000"/>
        </w:rPr>
        <w:t xml:space="preserve"> and Shepsle (</w:t>
      </w:r>
      <w:r w:rsidRPr="006F106D">
        <w:rPr>
          <w:color w:val="000000"/>
        </w:rPr>
        <w:t>1972</w:t>
      </w:r>
      <w:r>
        <w:rPr>
          <w:color w:val="000000"/>
        </w:rPr>
        <w:t>), who argued that framing ethnic identity in such a way would lead to escalating policy and ethnic ‘outbidding’ wars that would ultimately leave ethnic groups unwilling to share power with one another under a democratic system.</w:t>
      </w:r>
      <w:r w:rsidR="003D04A7">
        <w:rPr>
          <w:color w:val="000000"/>
        </w:rPr>
        <w:t xml:space="preserve"> While their conception shares the fatalistic tones of primordialism, it underscores the importance of how ethnic groups interact with one another in the polity, which is an emphasis the scholarship on ethnic violence has increasingly adopted.</w:t>
      </w:r>
    </w:p>
    <w:p w14:paraId="4D1033A2" w14:textId="692962B7" w:rsidR="00C57501" w:rsidRDefault="00E37231" w:rsidP="000B2F68">
      <w:pPr>
        <w:ind w:firstLine="720"/>
      </w:pPr>
      <w:r>
        <w:t>The</w:t>
      </w:r>
      <w:r w:rsidR="0069696E">
        <w:t xml:space="preserve"> understanding</w:t>
      </w:r>
      <w:r w:rsidR="00525621">
        <w:t xml:space="preserve"> that ethnicity—typically defined broadly as identification along the lines of shared cultural, linguistic, or religious markers—</w:t>
      </w:r>
      <w:r>
        <w:t>becomes particularly relevant in the political sphere</w:t>
      </w:r>
      <w:r w:rsidR="00525621">
        <w:t xml:space="preserve"> has led </w:t>
      </w:r>
      <w:r>
        <w:t xml:space="preserve">some scholars of ethnopolitical violence to focus </w:t>
      </w:r>
      <w:r w:rsidR="00525621">
        <w:t>on state struct</w:t>
      </w:r>
      <w:r w:rsidR="00876542">
        <w:t>ure. For example, researc</w:t>
      </w:r>
      <w:r w:rsidR="0069696E">
        <w:t xml:space="preserve">h on political violence has </w:t>
      </w:r>
      <w:r w:rsidR="00876542">
        <w:t>long argued that democratic regimes are less likely to experience conflict because non-violent means of diss</w:t>
      </w:r>
      <w:r w:rsidR="0069696E">
        <w:t>ent are more readily available.</w:t>
      </w:r>
      <w:r w:rsidR="00C57501">
        <w:t xml:space="preserve"> </w:t>
      </w:r>
      <w:r w:rsidR="000B2F68">
        <w:t xml:space="preserve">In support of this, </w:t>
      </w:r>
      <w:r w:rsidR="00C57501">
        <w:t>Scarritt, McMillan, and Mozaffar</w:t>
      </w:r>
      <w:r w:rsidR="000B2F68">
        <w:t xml:space="preserve"> (2001) </w:t>
      </w:r>
      <w:r w:rsidR="00C57501">
        <w:t>found that while conflict is less likely in democratic soc</w:t>
      </w:r>
      <w:r w:rsidR="000B2F68">
        <w:t xml:space="preserve">ieties, other forms of dissent such as protests are more likely. Similar to the democratic regime theory, though based on a different operative logic, autocratic regimes </w:t>
      </w:r>
      <w:r w:rsidR="00876542">
        <w:t xml:space="preserve">are </w:t>
      </w:r>
      <w:r w:rsidR="00C57501">
        <w:t>frequently hypothesized to be less conflict prone</w:t>
      </w:r>
      <w:r w:rsidR="000B2F68">
        <w:t xml:space="preserve">. Most theories relevant to ethnopolitical </w:t>
      </w:r>
      <w:r w:rsidR="000B2F68">
        <w:lastRenderedPageBreak/>
        <w:t>violence support this view on the basis that an autocratic regime disincentivizes armed rebellion through its greater capacity to repress or co-opt its population</w:t>
      </w:r>
      <w:r w:rsidR="009C435D">
        <w:t xml:space="preserve"> (Mousseau 2001; Mul</w:t>
      </w:r>
      <w:r w:rsidR="00A03461">
        <w:t xml:space="preserve">ler and Seligson 1987; Scarritt, McMillan, and Mozaffar </w:t>
      </w:r>
      <w:r w:rsidR="009C435D">
        <w:t>2001)</w:t>
      </w:r>
      <w:r w:rsidR="00876542">
        <w:t xml:space="preserve">. </w:t>
      </w:r>
      <w:r w:rsidR="000B2F68">
        <w:t>Thus, many studies of political violence include an “anocracy”</w:t>
      </w:r>
      <w:r w:rsidR="000772E0">
        <w:rPr>
          <w:rStyle w:val="FootnoteReference"/>
        </w:rPr>
        <w:footnoteReference w:id="2"/>
      </w:r>
      <w:r w:rsidR="000772E0">
        <w:t xml:space="preserve"> </w:t>
      </w:r>
      <w:r w:rsidR="000B2F68">
        <w:t xml:space="preserve">dummy variable to control for </w:t>
      </w:r>
      <w:r w:rsidR="002B5099">
        <w:t xml:space="preserve">regime type. Those who focus </w:t>
      </w:r>
      <w:r w:rsidR="000772E0">
        <w:t xml:space="preserve">on </w:t>
      </w:r>
      <w:r w:rsidR="002B5099">
        <w:t xml:space="preserve">the influence of state structure upon political violence, however, have incorporated increasingly nuanced measures of regime type, frequently (though </w:t>
      </w:r>
      <w:r w:rsidR="00895274">
        <w:t>far from exclusively) as an element of the</w:t>
      </w:r>
      <w:r w:rsidR="002B5099">
        <w:t xml:space="preserve"> dependent variables of the study.</w:t>
      </w:r>
    </w:p>
    <w:p w14:paraId="01999B42" w14:textId="40EBF4FC" w:rsidR="00876542" w:rsidRDefault="00876542" w:rsidP="00876542">
      <w:pPr>
        <w:ind w:firstLine="720"/>
      </w:pPr>
      <w:r>
        <w:t>Many</w:t>
      </w:r>
      <w:r w:rsidR="009C435D">
        <w:t xml:space="preserve"> recent</w:t>
      </w:r>
      <w:r>
        <w:t xml:space="preserve"> studies ground their analysi</w:t>
      </w:r>
      <w:r w:rsidR="004D0E1D">
        <w:t xml:space="preserve">s in the theory of Charles Tilly (1978) </w:t>
      </w:r>
      <w:r>
        <w:t>and other political conflict theorists. Countering arguments that diversity leads to more conflict, Tilly and others in this camp argued simple demographics were insufficient to measure potential conflict. What really mattered were the structural conditions of the ruling elite. Tilly’s polity approach considered the structure of the state and the relationships between rulers, insiders, and outsiders. Born in opposition to relative deprivation and resource mobilization theories, the polity model acknowledges that frustration and resources are both important, but asserts that the state still may retain the ability to repress dissent by making the costs too high (Tarrow 2011). Violence in this conception is a “by-product” of the more important claims made against the government stemming from existing political structures and competing claims to power of opposed groups (Skocpol 1979).</w:t>
      </w:r>
    </w:p>
    <w:p w14:paraId="19DB5120" w14:textId="748E3B0D" w:rsidR="002C56B7" w:rsidRDefault="00876542" w:rsidP="005578C4">
      <w:pPr>
        <w:ind w:firstLine="720"/>
      </w:pPr>
      <w:r w:rsidRPr="006B320E">
        <w:t>Wimmer, Cederman, and Min</w:t>
      </w:r>
      <w:r>
        <w:t xml:space="preserve"> (2009</w:t>
      </w:r>
      <w:r w:rsidR="00A03461">
        <w:t>a</w:t>
      </w:r>
      <w:r>
        <w:t xml:space="preserve">) use a Tilly-based polity model to measure the determinants of the onset of ethnic conflict and find more conflict prone states to be those with particular configurations of power: ethnocracies (rather than simply ethnically diverse states), states where a large number of ethnic elites share power, and states with a history of </w:t>
      </w:r>
      <w:r>
        <w:lastRenderedPageBreak/>
        <w:t xml:space="preserve">authoritarian rule. Similarly, Asal, Early, and Schulzke (2015) find that political exclusion and/or repression of ethnic minority organizations (EMOs) in Eastern Europe on the part of governments increases the likelihood that an EMO will form a militia. </w:t>
      </w:r>
      <w:r w:rsidR="009C435D">
        <w:t>Additionally, o</w:t>
      </w:r>
      <w:r>
        <w:t>ther researchers conducting gl</w:t>
      </w:r>
      <w:r w:rsidR="009C435D">
        <w:t>obal studies using groups rather than countries as the unit of analysis</w:t>
      </w:r>
      <w:r>
        <w:t xml:space="preserve"> have found similar results. Using a five-category regime measure based on Tilly’s polity model, Goldstone et al. (2009) found political structure to be the most important predictor</w:t>
      </w:r>
      <w:r w:rsidR="009C435D">
        <w:t xml:space="preserve"> of multiple forms of ethnic violence.</w:t>
      </w:r>
      <w:r w:rsidR="002C56B7">
        <w:t xml:space="preserve"> Thus, while many researchers have identified the importance of state structure, few have incorporated such a measure into the dependent variable in order to understand more directly the link between inclusion and conflict.</w:t>
      </w:r>
      <w:r w:rsidR="00A128F4">
        <w:t xml:space="preserve"> The following section provides a brief overview of how quantitative studies have tested theories related to ethnopolitical violence before proposing the hypotheses of the current study.</w:t>
      </w:r>
    </w:p>
    <w:p w14:paraId="18AD3A00" w14:textId="4D950323" w:rsidR="008137A7" w:rsidRPr="008137A7" w:rsidRDefault="00BC18AF" w:rsidP="008137A7">
      <w:pPr>
        <w:rPr>
          <w:u w:val="single"/>
        </w:rPr>
      </w:pPr>
      <w:r>
        <w:rPr>
          <w:sz w:val="28"/>
          <w:u w:val="single"/>
        </w:rPr>
        <w:t xml:space="preserve">Past Approaches </w:t>
      </w:r>
      <w:r w:rsidR="003E403B">
        <w:rPr>
          <w:sz w:val="28"/>
          <w:u w:val="single"/>
        </w:rPr>
        <w:t>and Present</w:t>
      </w:r>
      <w:r>
        <w:rPr>
          <w:sz w:val="28"/>
          <w:u w:val="single"/>
        </w:rPr>
        <w:t xml:space="preserve"> Hypotheses</w:t>
      </w:r>
    </w:p>
    <w:p w14:paraId="3D98CA8A" w14:textId="77777777" w:rsidR="00421207" w:rsidRDefault="00421207" w:rsidP="00474917">
      <w:r>
        <w:tab/>
        <w:t xml:space="preserve">Methods vary across studies of </w:t>
      </w:r>
      <w:r w:rsidR="00F3153D">
        <w:t xml:space="preserve">how </w:t>
      </w:r>
      <w:r w:rsidR="003A5764">
        <w:t xml:space="preserve">state </w:t>
      </w:r>
      <w:r w:rsidR="00F3153D">
        <w:t>structure impacts ethnopo</w:t>
      </w:r>
      <w:r>
        <w:t>litical conflict. P</w:t>
      </w:r>
      <w:r w:rsidR="003A5764">
        <w:t xml:space="preserve">articularly </w:t>
      </w:r>
      <w:r w:rsidR="00F3153D">
        <w:t>because the event of conf</w:t>
      </w:r>
      <w:r w:rsidR="003A5764">
        <w:t>lict is rare</w:t>
      </w:r>
      <w:r>
        <w:t xml:space="preserve">, </w:t>
      </w:r>
      <w:r w:rsidR="003A5764">
        <w:t>most studies</w:t>
      </w:r>
      <w:r w:rsidR="00F3153D">
        <w:t xml:space="preserve"> employ large data sets that </w:t>
      </w:r>
      <w:r w:rsidR="00C733BD">
        <w:t>cover several decades</w:t>
      </w:r>
      <w:r>
        <w:t xml:space="preserve"> and use either group-year or </w:t>
      </w:r>
      <w:r w:rsidR="003A5764">
        <w:t>country-year as the unit of analysis</w:t>
      </w:r>
      <w:r w:rsidR="00C733BD">
        <w:t>. Since the</w:t>
      </w:r>
      <w:r w:rsidR="005571FF">
        <w:t>se</w:t>
      </w:r>
      <w:r w:rsidR="00F3153D">
        <w:t xml:space="preserve"> data sets are cross-sectional—time-series, so</w:t>
      </w:r>
      <w:r w:rsidR="00C733BD">
        <w:t>me such as Gurr (2000) have employed</w:t>
      </w:r>
      <w:r w:rsidR="00F3153D">
        <w:t xml:space="preserve"> time series</w:t>
      </w:r>
      <w:r w:rsidR="00AD391A">
        <w:t xml:space="preserve"> to measure the risk of conflict onset</w:t>
      </w:r>
      <w:r w:rsidR="00F3153D">
        <w:t xml:space="preserve">. Others, such as </w:t>
      </w:r>
      <w:r w:rsidR="00C733BD">
        <w:t>Box-Steffensmeier, Reiter, and Zorn (2</w:t>
      </w:r>
      <w:r w:rsidR="00C733BD" w:rsidRPr="00C733BD">
        <w:t>003</w:t>
      </w:r>
      <w:r w:rsidR="00C733BD">
        <w:t xml:space="preserve">) have used event history analysis to study the duration of </w:t>
      </w:r>
      <w:r w:rsidR="00324C89">
        <w:t>varied forms of conflicts</w:t>
      </w:r>
      <w:r w:rsidR="00C733BD">
        <w:t xml:space="preserve">. </w:t>
      </w:r>
    </w:p>
    <w:p w14:paraId="74C722C2" w14:textId="0F7C5989" w:rsidR="008A10E6" w:rsidRDefault="00421207" w:rsidP="00474917">
      <w:r>
        <w:t xml:space="preserve">However, the more common approach is to use logistic regression. </w:t>
      </w:r>
      <w:r w:rsidR="00AD391A">
        <w:t>Wimmer, Cederman, and Min (2009</w:t>
      </w:r>
      <w:r w:rsidR="00A03461">
        <w:t>a</w:t>
      </w:r>
      <w:r w:rsidR="00AD391A">
        <w:t xml:space="preserve">) </w:t>
      </w:r>
      <w:r w:rsidR="008137A7">
        <w:t xml:space="preserve">and Fearon and Laitin (2003) </w:t>
      </w:r>
      <w:r w:rsidR="00324C89">
        <w:t xml:space="preserve">have </w:t>
      </w:r>
      <w:r w:rsidR="00AD391A">
        <w:t>use</w:t>
      </w:r>
      <w:r w:rsidR="00324C89">
        <w:t>d</w:t>
      </w:r>
      <w:r w:rsidR="00AD391A">
        <w:t xml:space="preserve"> multinomial logistic regression to measure </w:t>
      </w:r>
      <w:r w:rsidR="004F0963">
        <w:t>the onset of hostilities</w:t>
      </w:r>
      <w:r w:rsidR="00324C89">
        <w:t xml:space="preserve"> </w:t>
      </w:r>
      <w:r w:rsidR="004F0963">
        <w:t>according to the forms of conflict</w:t>
      </w:r>
      <w:r w:rsidR="00AD391A">
        <w:t xml:space="preserve">. </w:t>
      </w:r>
      <w:r w:rsidR="004F0963">
        <w:t xml:space="preserve">Goldstone et al. (2009) have used a case-control-method employing conditional logistic regression to estimate the effects of the </w:t>
      </w:r>
      <w:r w:rsidR="004F0963">
        <w:lastRenderedPageBreak/>
        <w:t xml:space="preserve">independent variables conditioned on inclusion in clusters of matched samples. </w:t>
      </w:r>
      <w:r w:rsidR="00AD391A">
        <w:t>Others (e.g. Wimmer, Cederman, and Min 2010; Wimmer and Min 2006)</w:t>
      </w:r>
      <w:r w:rsidR="00C733BD">
        <w:t xml:space="preserve"> </w:t>
      </w:r>
      <w:r w:rsidR="004F0963">
        <w:t>have employed</w:t>
      </w:r>
      <w:r w:rsidR="008137A7">
        <w:t xml:space="preserve"> a series of binary logistic regressions to measure the onset of conflict i</w:t>
      </w:r>
      <w:r w:rsidR="008A10E6">
        <w:t>nitiated by particular groups.</w:t>
      </w:r>
      <w:r w:rsidR="008A10E6">
        <w:rPr>
          <w:rStyle w:val="FootnoteReference"/>
        </w:rPr>
        <w:footnoteReference w:id="3"/>
      </w:r>
    </w:p>
    <w:p w14:paraId="15FA370D" w14:textId="447A0B0F" w:rsidR="008A10E6" w:rsidRDefault="008A10E6" w:rsidP="008A10E6">
      <w:pPr>
        <w:ind w:firstLine="720"/>
      </w:pPr>
      <w:r>
        <w:t>Additionally, w</w:t>
      </w:r>
      <w:r w:rsidR="008137A7">
        <w:t xml:space="preserve">hile some studies </w:t>
      </w:r>
      <w:r w:rsidR="00C733BD">
        <w:t xml:space="preserve">have used rare events logit (developed by King and Zeng </w:t>
      </w:r>
      <w:r w:rsidR="008137A7">
        <w:t>2001) as a robustness check, most have reported probability estimates based on</w:t>
      </w:r>
      <w:r w:rsidR="00C733BD">
        <w:t xml:space="preserve"> stand</w:t>
      </w:r>
      <w:r w:rsidR="004F0963">
        <w:t xml:space="preserve">ard binary logistic regression. </w:t>
      </w:r>
      <w:r>
        <w:t>That is, a number of studies (e.g. Wimmer, Cederman, and Min 2010; Wimmer and Min 2006) have accounted for the rarity of conflict in large data sets when determining the significance of variables. However, most do not maintain that statistical control when computing probability estimates, a problem which King and Zeng (2001) specifically reference.</w:t>
      </w:r>
    </w:p>
    <w:p w14:paraId="5D5051E7" w14:textId="77777777" w:rsidR="006D0EFB" w:rsidRDefault="008137A7" w:rsidP="00474917">
      <w:r>
        <w:tab/>
        <w:t xml:space="preserve">The present </w:t>
      </w:r>
      <w:r w:rsidR="006D0EFB">
        <w:t>study seeks to add to the growing literature which analyzes the onset of conflict according to the groups which initiate hostilities. Particularly, it seeks to determine the relative importance of a series of independent variables within two models which employ distinct dependent, dichotomous variables: a) onset of conflict initiated by groups excluded from the central government, and b) onset of conflict initiated by groups from within the central government.</w:t>
      </w:r>
      <w:r w:rsidR="00A409F6">
        <w:t xml:space="preserve"> Furthermore, it employs more statistically rigorous means to estimate the probabilities of each of the significant variables.</w:t>
      </w:r>
    </w:p>
    <w:p w14:paraId="6D62EA73" w14:textId="3083A155" w:rsidR="008D2DF8" w:rsidRDefault="008137A7" w:rsidP="00A409F6">
      <w:pPr>
        <w:ind w:firstLine="720"/>
      </w:pPr>
      <w:r>
        <w:t>The first model, borrowing language from Wimmer, Cederman, and Min (2009</w:t>
      </w:r>
      <w:r w:rsidR="00A03461">
        <w:t>a</w:t>
      </w:r>
      <w:r>
        <w:t xml:space="preserve">), is termed the </w:t>
      </w:r>
      <w:r>
        <w:rPr>
          <w:i/>
        </w:rPr>
        <w:t xml:space="preserve">rebellion </w:t>
      </w:r>
      <w:r>
        <w:t xml:space="preserve">model. It </w:t>
      </w:r>
      <w:r w:rsidR="00001C39">
        <w:t>is based on the hypothesis</w:t>
      </w:r>
      <w:r w:rsidR="008A10E6">
        <w:t xml:space="preserve"> (</w:t>
      </w:r>
      <w:r w:rsidR="008A10E6" w:rsidRPr="003D28F1">
        <w:rPr>
          <w:b/>
          <w:bCs/>
        </w:rPr>
        <w:t>H</w:t>
      </w:r>
      <w:r w:rsidR="008A10E6" w:rsidRPr="003D28F1">
        <w:rPr>
          <w:b/>
          <w:bCs/>
          <w:vertAlign w:val="subscript"/>
        </w:rPr>
        <w:t>1</w:t>
      </w:r>
      <w:r w:rsidR="008A10E6" w:rsidRPr="00001C39">
        <w:rPr>
          <w:bCs/>
        </w:rPr>
        <w:t>)</w:t>
      </w:r>
      <w:r w:rsidR="00001C39">
        <w:t xml:space="preserve"> that </w:t>
      </w:r>
      <w:r w:rsidR="008A10E6">
        <w:t xml:space="preserve">countries </w:t>
      </w:r>
      <w:r w:rsidR="00001C39" w:rsidRPr="00001C39">
        <w:t xml:space="preserve">characterized by large shares of ethnopolitcal groups excluded from </w:t>
      </w:r>
      <w:r w:rsidR="00001C39">
        <w:t xml:space="preserve">the polity will </w:t>
      </w:r>
      <w:r w:rsidR="00001C39" w:rsidRPr="00001C39">
        <w:t>be more likely to experience armed conflict initiated</w:t>
      </w:r>
      <w:r w:rsidR="00001C39">
        <w:t xml:space="preserve"> on the part of excluded groups</w:t>
      </w:r>
      <w:r w:rsidR="008A10E6">
        <w:t xml:space="preserve">. </w:t>
      </w:r>
      <w:r w:rsidR="00001C39">
        <w:rPr>
          <w:bCs/>
        </w:rPr>
        <w:t xml:space="preserve">The second model is termed the </w:t>
      </w:r>
      <w:r w:rsidR="00001C39">
        <w:rPr>
          <w:bCs/>
          <w:i/>
        </w:rPr>
        <w:lastRenderedPageBreak/>
        <w:t xml:space="preserve">infighting </w:t>
      </w:r>
      <w:r w:rsidR="00001C39">
        <w:rPr>
          <w:bCs/>
        </w:rPr>
        <w:t xml:space="preserve">model, and is based on the hypothesis </w:t>
      </w:r>
      <w:r w:rsidR="008A10E6">
        <w:t>(</w:t>
      </w:r>
      <w:r w:rsidR="008A10E6" w:rsidRPr="003D28F1">
        <w:rPr>
          <w:b/>
          <w:bCs/>
        </w:rPr>
        <w:t>H</w:t>
      </w:r>
      <w:r w:rsidR="008A10E6" w:rsidRPr="003D28F1">
        <w:rPr>
          <w:b/>
          <w:bCs/>
          <w:vertAlign w:val="subscript"/>
        </w:rPr>
        <w:t>2</w:t>
      </w:r>
      <w:r w:rsidR="008A10E6">
        <w:rPr>
          <w:bCs/>
        </w:rPr>
        <w:t xml:space="preserve">) </w:t>
      </w:r>
      <w:r w:rsidR="00001C39">
        <w:rPr>
          <w:bCs/>
        </w:rPr>
        <w:t xml:space="preserve">that </w:t>
      </w:r>
      <w:r w:rsidR="00001C39">
        <w:t>re</w:t>
      </w:r>
      <w:r w:rsidR="00001C39" w:rsidRPr="003D28F1">
        <w:t xml:space="preserve">bellion by included groups is more likely when the polity is shared among a large number of political groups engaged </w:t>
      </w:r>
      <w:r w:rsidR="008A10E6">
        <w:t xml:space="preserve">in competition with one another. </w:t>
      </w:r>
      <w:r w:rsidR="00001C39">
        <w:rPr>
          <w:bCs/>
        </w:rPr>
        <w:t>While the first hypothesis operates on the assumption that exclusion breeds radicalization, the secon</w:t>
      </w:r>
      <w:r w:rsidR="00A409F6">
        <w:rPr>
          <w:bCs/>
        </w:rPr>
        <w:t xml:space="preserve">d takes a </w:t>
      </w:r>
      <w:r w:rsidR="005A3D33">
        <w:rPr>
          <w:bCs/>
        </w:rPr>
        <w:t>merged structural/political-opportunity</w:t>
      </w:r>
      <w:r w:rsidR="00A409F6">
        <w:rPr>
          <w:bCs/>
        </w:rPr>
        <w:t xml:space="preserve"> </w:t>
      </w:r>
      <w:r w:rsidR="00001C39">
        <w:rPr>
          <w:bCs/>
        </w:rPr>
        <w:t>approach, suggesting that more fragmented polities will be mor</w:t>
      </w:r>
      <w:r w:rsidR="005A3D33">
        <w:rPr>
          <w:bCs/>
        </w:rPr>
        <w:t>e likely to experience conflict</w:t>
      </w:r>
      <w:r w:rsidR="00053609">
        <w:rPr>
          <w:bCs/>
        </w:rPr>
        <w:t xml:space="preserve">, particularly under certain </w:t>
      </w:r>
      <w:r w:rsidR="005A3D33">
        <w:rPr>
          <w:bCs/>
        </w:rPr>
        <w:t>conditions.</w:t>
      </w:r>
    </w:p>
    <w:p w14:paraId="06C92E53" w14:textId="77777777" w:rsidR="00474917" w:rsidRDefault="00474917" w:rsidP="00474917">
      <w:pPr>
        <w:pStyle w:val="Heading1"/>
      </w:pPr>
      <w:r>
        <w:t>Data</w:t>
      </w:r>
      <w:r w:rsidR="007A1628">
        <w:t xml:space="preserve"> and Variables</w:t>
      </w:r>
    </w:p>
    <w:p w14:paraId="6F02D308" w14:textId="44D0F513" w:rsidR="00976C74" w:rsidRDefault="001E1D7D" w:rsidP="00496AE2">
      <w:pPr>
        <w:ind w:firstLine="720"/>
      </w:pPr>
      <w:r>
        <w:t>The present study draws upon the</w:t>
      </w:r>
      <w:r w:rsidR="00EF6B42">
        <w:t xml:space="preserve"> </w:t>
      </w:r>
      <w:r w:rsidR="00B37FDF">
        <w:t>country-</w:t>
      </w:r>
      <w:r w:rsidR="00413D65">
        <w:t>year Version 3.0 of the</w:t>
      </w:r>
      <w:r>
        <w:t xml:space="preserve"> Ethnic Power Relations dataset</w:t>
      </w:r>
      <w:r w:rsidR="00413D65">
        <w:t xml:space="preserve"> (Wimmer, Cederman, and Min 2009</w:t>
      </w:r>
      <w:r w:rsidR="00A03461">
        <w:t>a</w:t>
      </w:r>
      <w:r w:rsidR="00413D65">
        <w:t xml:space="preserve">). The dataset was constructed through expert surveys seeking to identify the varying degrees of exclusion and political participation of </w:t>
      </w:r>
      <w:r w:rsidR="00976C74">
        <w:t>ethnic groups worldwide, and contains annual data on 758 politically relevant ethnic groups for the years 1945 to 2010.</w:t>
      </w:r>
      <w:r w:rsidR="006C060D">
        <w:rPr>
          <w:rStyle w:val="FootnoteReference"/>
        </w:rPr>
        <w:footnoteReference w:id="4"/>
      </w:r>
      <w:r w:rsidR="00976C74">
        <w:t xml:space="preserve"> </w:t>
      </w:r>
    </w:p>
    <w:p w14:paraId="5A66D28A" w14:textId="4CF0AFEF" w:rsidR="007441C2" w:rsidRDefault="00B21B21" w:rsidP="00B21B21">
      <w:pPr>
        <w:ind w:firstLine="720"/>
      </w:pPr>
      <w:r>
        <w:t>In categorizing ethnic groups</w:t>
      </w:r>
      <w:r w:rsidR="00EF6B42">
        <w:t>, ethnicity is defined</w:t>
      </w:r>
      <w:r w:rsidR="00976C74">
        <w:t xml:space="preserve"> </w:t>
      </w:r>
      <w:r w:rsidR="00EF6B42">
        <w:t>in the broad, Weberian sense as</w:t>
      </w:r>
      <w:r w:rsidR="00976C74">
        <w:t xml:space="preserve"> </w:t>
      </w:r>
      <w:r w:rsidR="006C060D">
        <w:t xml:space="preserve">“a subjectively experienced sense of commonality based on </w:t>
      </w:r>
      <w:r w:rsidR="007441C2">
        <w:t>a belief in</w:t>
      </w:r>
      <w:r w:rsidR="006C060D">
        <w:t xml:space="preserve"> common </w:t>
      </w:r>
      <w:r w:rsidR="007441C2">
        <w:t>ancestry and shared culture” (Wimmer, Cederman, and Min 2009</w:t>
      </w:r>
      <w:r w:rsidR="00A03461">
        <w:t>b, 1</w:t>
      </w:r>
      <w:r w:rsidR="007441C2">
        <w:t>). Thus, because a number of characteristics may induce such a sense of commonality, the definition of ethnicity used in coding groups incorporates language, religion, and physical characteristics.</w:t>
      </w:r>
      <w:r w:rsidR="007441C2">
        <w:rPr>
          <w:rStyle w:val="FootnoteReference"/>
        </w:rPr>
        <w:footnoteReference w:id="5"/>
      </w:r>
      <w:r>
        <w:t xml:space="preserve"> </w:t>
      </w:r>
      <w:r w:rsidR="003E403B">
        <w:t xml:space="preserve">Ethnic groups are considered politically relevant if they meet one of two criteria: 1) represented nationally by at least one political organization active in national politics or 2) the ethnic community is directly and systematically discriminated against in public politics through exclusion. </w:t>
      </w:r>
      <w:r w:rsidR="00EA3BA4">
        <w:t xml:space="preserve">Wimmer, Cederman, </w:t>
      </w:r>
      <w:r w:rsidR="00EA3BA4">
        <w:lastRenderedPageBreak/>
        <w:t>and Min’s (2009</w:t>
      </w:r>
      <w:r w:rsidR="00A03461">
        <w:t>b</w:t>
      </w:r>
      <w:r w:rsidR="00EA3BA4">
        <w:t>) coding of political relevance mirrors that of the Minorities at Risk dataset, but expands the number of groups by including majority as well as minority groups.</w:t>
      </w:r>
    </w:p>
    <w:p w14:paraId="35A7E30E" w14:textId="77777777" w:rsidR="00175361" w:rsidRDefault="00175361" w:rsidP="00175361">
      <w:pPr>
        <w:rPr>
          <w:u w:val="single"/>
        </w:rPr>
      </w:pPr>
      <w:r w:rsidRPr="00175361">
        <w:rPr>
          <w:u w:val="single"/>
        </w:rPr>
        <w:t>Dependent Variables</w:t>
      </w:r>
    </w:p>
    <w:p w14:paraId="04BE71A6" w14:textId="01F1AC35" w:rsidR="00175361" w:rsidRDefault="00175361" w:rsidP="00175361">
      <w:r>
        <w:tab/>
        <w:t>The</w:t>
      </w:r>
      <w:r w:rsidR="006B6DE8">
        <w:t xml:space="preserve"> present study employs two </w:t>
      </w:r>
      <w:r w:rsidR="00DC5AA4">
        <w:t xml:space="preserve">binary </w:t>
      </w:r>
      <w:r w:rsidR="006B6DE8">
        <w:t>depend</w:t>
      </w:r>
      <w:r w:rsidR="00DC5AA4">
        <w:t>ent variables, each of which corresponds to a particular hypothesi</w:t>
      </w:r>
      <w:r w:rsidR="006B6DE8">
        <w:t xml:space="preserve">s. The </w:t>
      </w:r>
      <w:r w:rsidR="00DC5AA4">
        <w:t>first</w:t>
      </w:r>
      <w:r w:rsidR="00E91B7F">
        <w:t xml:space="preserve">, </w:t>
      </w:r>
      <w:r w:rsidR="00E91B7F">
        <w:rPr>
          <w:i/>
        </w:rPr>
        <w:t>rebellion</w:t>
      </w:r>
      <w:r w:rsidR="005F7B3C">
        <w:t xml:space="preserve"> (</w:t>
      </w:r>
      <w:r w:rsidR="005F7B3C" w:rsidRPr="005F7B3C">
        <w:rPr>
          <w:b/>
        </w:rPr>
        <w:t>H</w:t>
      </w:r>
      <w:r w:rsidR="005F7B3C" w:rsidRPr="005F7B3C">
        <w:rPr>
          <w:b/>
          <w:vertAlign w:val="subscript"/>
        </w:rPr>
        <w:t>1</w:t>
      </w:r>
      <w:r w:rsidR="005F7B3C">
        <w:t>),</w:t>
      </w:r>
      <w:r w:rsidR="00DC5AA4">
        <w:t xml:space="preserve"> codes as 1</w:t>
      </w:r>
      <w:r w:rsidR="006B6DE8">
        <w:t xml:space="preserve"> the onset of ethnic conflict </w:t>
      </w:r>
      <w:r w:rsidR="00223D39">
        <w:t>initiated</w:t>
      </w:r>
      <w:r w:rsidR="006B6DE8">
        <w:t xml:space="preserve"> by ethnopolitical groups excluded from the central government. </w:t>
      </w:r>
      <w:r w:rsidR="00203373">
        <w:t>Nonevents,</w:t>
      </w:r>
      <w:r w:rsidR="006B6DE8">
        <w:t xml:space="preserve"> or the absence of conflict, as well as conflicts init</w:t>
      </w:r>
      <w:r w:rsidR="00223D39">
        <w:t>i</w:t>
      </w:r>
      <w:r w:rsidR="006B6DE8">
        <w:t xml:space="preserve">ated by </w:t>
      </w:r>
      <w:r w:rsidR="005F7B3C">
        <w:t xml:space="preserve">included </w:t>
      </w:r>
      <w:r w:rsidR="00E91B7F">
        <w:t>groups are coded as 0</w:t>
      </w:r>
      <w:r w:rsidR="006B6DE8">
        <w:t>. The second dependent variable</w:t>
      </w:r>
      <w:r w:rsidR="00E91B7F">
        <w:t xml:space="preserve">, </w:t>
      </w:r>
      <w:r w:rsidR="00E91B7F">
        <w:rPr>
          <w:i/>
        </w:rPr>
        <w:t>infighting</w:t>
      </w:r>
      <w:r w:rsidR="005F7B3C">
        <w:rPr>
          <w:i/>
        </w:rPr>
        <w:t xml:space="preserve"> </w:t>
      </w:r>
      <w:r w:rsidR="005F7B3C">
        <w:t>(</w:t>
      </w:r>
      <w:r w:rsidR="005F7B3C" w:rsidRPr="005F7B3C">
        <w:rPr>
          <w:b/>
        </w:rPr>
        <w:t>H</w:t>
      </w:r>
      <w:r w:rsidR="005F7B3C" w:rsidRPr="005F7B3C">
        <w:rPr>
          <w:b/>
          <w:vertAlign w:val="subscript"/>
        </w:rPr>
        <w:t>2</w:t>
      </w:r>
      <w:r w:rsidR="005F7B3C">
        <w:t>),</w:t>
      </w:r>
      <w:r w:rsidR="006B6DE8">
        <w:t xml:space="preserve"> </w:t>
      </w:r>
      <w:r w:rsidR="00E91B7F">
        <w:t>codes as 1 the</w:t>
      </w:r>
      <w:r w:rsidR="003F2878">
        <w:t xml:space="preserve"> onset of conflict initiated by groups that were included in the central government and codes all nonevents and conflicts initiated by non-</w:t>
      </w:r>
      <w:r w:rsidR="00E91B7F">
        <w:t>included groups as 0</w:t>
      </w:r>
      <w:r w:rsidR="003F2878">
        <w:t>.</w:t>
      </w:r>
      <w:r w:rsidR="00203373">
        <w:rPr>
          <w:rStyle w:val="FootnoteReference"/>
        </w:rPr>
        <w:footnoteReference w:id="6"/>
      </w:r>
      <w:r w:rsidR="003F2878">
        <w:t xml:space="preserve"> </w:t>
      </w:r>
      <w:r w:rsidR="007E219E">
        <w:t>I</w:t>
      </w:r>
      <w:r w:rsidR="00F815DB">
        <w:t>nclusio</w:t>
      </w:r>
      <w:r w:rsidR="004C63E0">
        <w:t>n is defined as having access to executive-level power, whether in the presidency, cabinet, or in senior administrative posts</w:t>
      </w:r>
      <w:r w:rsidR="007E219E">
        <w:t xml:space="preserve"> (including the army)</w:t>
      </w:r>
      <w:r w:rsidR="004C63E0">
        <w:t xml:space="preserve">. Exclusion is determined as a simple negative, that is, the lack of access to central power. In classifying groups as included or excluded, </w:t>
      </w:r>
      <w:r w:rsidR="007E219E">
        <w:t>the coders who constructed the data set emphasized</w:t>
      </w:r>
      <w:r w:rsidR="004C63E0">
        <w:t xml:space="preserve"> </w:t>
      </w:r>
      <w:r w:rsidR="007E219E">
        <w:t xml:space="preserve">simple </w:t>
      </w:r>
      <w:r w:rsidR="004C63E0">
        <w:t>access</w:t>
      </w:r>
      <w:r w:rsidR="007E219E">
        <w:t xml:space="preserve"> to power rather than</w:t>
      </w:r>
      <w:r w:rsidR="004C63E0">
        <w:t xml:space="preserve"> the degree of representation relative to the size of the ethnic group in question.</w:t>
      </w:r>
    </w:p>
    <w:p w14:paraId="191A8D74" w14:textId="2F6819D6" w:rsidR="00BD304F" w:rsidRDefault="004C63E0" w:rsidP="00175361">
      <w:r>
        <w:tab/>
      </w:r>
      <w:r w:rsidR="003558F9">
        <w:t>In coding onset of conflict, t</w:t>
      </w:r>
      <w:r>
        <w:t>he present study also employs a lower threshold of conflict than the typified 1,000 total deaths and 100 or more annual battlefield death threshold employed by most studies of civil war (e.g. Fearon and Laitin 2003; Goldstone et al. 2009</w:t>
      </w:r>
      <w:r w:rsidR="005F7B3C">
        <w:t>; Sambanis 2001</w:t>
      </w:r>
      <w:r>
        <w:t xml:space="preserve">). </w:t>
      </w:r>
      <w:r w:rsidR="00BD304F">
        <w:t>Recognizing that excluded groups and included groups within fragmented polities often face difficulties in mobil</w:t>
      </w:r>
      <w:r w:rsidR="003558F9">
        <w:t xml:space="preserve">izing resources, a lower annual battlefield </w:t>
      </w:r>
      <w:r w:rsidR="00BD304F">
        <w:t>death threshold provi</w:t>
      </w:r>
      <w:r w:rsidR="00371C7D">
        <w:t>des more data on conflicts and</w:t>
      </w:r>
      <w:r w:rsidR="00BD304F">
        <w:t xml:space="preserve"> retain</w:t>
      </w:r>
      <w:r w:rsidR="00371C7D">
        <w:t>s</w:t>
      </w:r>
      <w:r w:rsidR="00BD304F">
        <w:t xml:space="preserve"> significant for testing the primary hypotheses of this study. </w:t>
      </w:r>
    </w:p>
    <w:p w14:paraId="7AC0329E" w14:textId="36200867" w:rsidR="005F7B3C" w:rsidRPr="005F7B3C" w:rsidRDefault="004C63E0" w:rsidP="005F7B3C">
      <w:pPr>
        <w:ind w:firstLine="720"/>
      </w:pPr>
      <w:r>
        <w:lastRenderedPageBreak/>
        <w:t xml:space="preserve">Using the </w:t>
      </w:r>
      <w:r w:rsidR="003558F9">
        <w:t>low-intensity onset variable within</w:t>
      </w:r>
      <w:r>
        <w:t xml:space="preserve"> the EPR dataset</w:t>
      </w:r>
      <w:r w:rsidR="003558F9">
        <w:t>,</w:t>
      </w:r>
      <w:r>
        <w:t xml:space="preserve"> which is based on the UCDP/PRIO Armed Conflicts Data Set (ACD)</w:t>
      </w:r>
      <w:r w:rsidR="00BD304F">
        <w:t>, conflict is defined as “any armed and organized confrontation between government troops and rebel organizations, or between army factions, that reaches an annual battle-death threshold of 25 people” (</w:t>
      </w:r>
      <w:r w:rsidR="00A03461">
        <w:t>Wimmer, Cederman, and Min 2009b</w:t>
      </w:r>
      <w:r w:rsidR="00BD304F">
        <w:t>, 1)</w:t>
      </w:r>
      <w:r w:rsidR="00F51B8C">
        <w:t>.</w:t>
      </w:r>
      <w:r w:rsidR="003558F9">
        <w:t xml:space="preserve"> This annual death threshold is a common measure in studies of ethnic conflict and is frequently characterized as “low-intensity” civil war.</w:t>
      </w:r>
      <w:r w:rsidR="005F7B3C">
        <w:t xml:space="preserve"> This coding scheme is consistent across the dependent variables. Similarly, the independent variables explained below are common to both models, and a primary variable in the </w:t>
      </w:r>
      <w:r w:rsidR="005F7B3C">
        <w:rPr>
          <w:i/>
        </w:rPr>
        <w:t xml:space="preserve">rebellion </w:t>
      </w:r>
      <w:r w:rsidR="005F7B3C">
        <w:t xml:space="preserve">model simply becomes a control in the </w:t>
      </w:r>
      <w:r w:rsidR="005F7B3C">
        <w:rPr>
          <w:i/>
        </w:rPr>
        <w:t xml:space="preserve">infighting </w:t>
      </w:r>
      <w:r w:rsidR="005F7B3C">
        <w:t>model.</w:t>
      </w:r>
    </w:p>
    <w:p w14:paraId="6EB1BA1D" w14:textId="469B2A71" w:rsidR="00474917" w:rsidRDefault="000A4FE7" w:rsidP="00474917">
      <w:pPr>
        <w:rPr>
          <w:u w:val="single"/>
        </w:rPr>
      </w:pPr>
      <w:r>
        <w:rPr>
          <w:u w:val="single"/>
        </w:rPr>
        <w:t xml:space="preserve">Primary </w:t>
      </w:r>
      <w:r w:rsidR="00474917" w:rsidRPr="00F51B8C">
        <w:rPr>
          <w:u w:val="single"/>
        </w:rPr>
        <w:t>I</w:t>
      </w:r>
      <w:r w:rsidR="000829D9" w:rsidRPr="00F51B8C">
        <w:rPr>
          <w:u w:val="single"/>
        </w:rPr>
        <w:t>ndependent</w:t>
      </w:r>
      <w:r w:rsidR="00F51B8C" w:rsidRPr="00F51B8C">
        <w:rPr>
          <w:u w:val="single"/>
        </w:rPr>
        <w:t xml:space="preserve"> Variables:</w:t>
      </w:r>
    </w:p>
    <w:p w14:paraId="333DCB32" w14:textId="05EF3468" w:rsidR="00DF1D0C" w:rsidRDefault="00C15749" w:rsidP="00474917">
      <w:r>
        <w:tab/>
      </w:r>
      <w:r w:rsidR="00C77930">
        <w:t xml:space="preserve">The primary independent variable in the </w:t>
      </w:r>
      <w:r w:rsidR="00C77930">
        <w:rPr>
          <w:i/>
        </w:rPr>
        <w:t xml:space="preserve">rebellion </w:t>
      </w:r>
      <w:r w:rsidR="00C77930">
        <w:t xml:space="preserve">model is the size of excluded population, which is expected to have a positive impact on the likelihood of rebellion. </w:t>
      </w:r>
      <w:r w:rsidR="00F368AF">
        <w:t xml:space="preserve">The </w:t>
      </w:r>
      <w:r>
        <w:t>excluded population</w:t>
      </w:r>
      <w:r w:rsidR="00F368AF">
        <w:t xml:space="preserve"> variable is coded as the natural log of the</w:t>
      </w:r>
      <w:r>
        <w:t xml:space="preserve"> share of the excluded population relative to the total ethnopoli</w:t>
      </w:r>
      <w:r w:rsidR="00F368AF">
        <w:t>tically relevant population. Repre</w:t>
      </w:r>
      <w:r w:rsidR="00C77930">
        <w:t xml:space="preserve">senting a standardized degree of exclusion, the excluded variable </w:t>
      </w:r>
      <w:r>
        <w:t>ranges from 0 to appr</w:t>
      </w:r>
      <w:r w:rsidR="001157E4">
        <w:t xml:space="preserve">oximately 4.6. </w:t>
      </w:r>
      <w:r w:rsidR="009C0CF0">
        <w:t>Similar to Wimmer, Cederman, and Min (2009</w:t>
      </w:r>
      <w:r w:rsidR="00A03461">
        <w:t>a</w:t>
      </w:r>
      <w:r w:rsidR="009C0CF0">
        <w:t xml:space="preserve">), the variable is logged to account for the greater effects of exclusion on likelihood of conflict at lower levels of exclusion. </w:t>
      </w:r>
    </w:p>
    <w:p w14:paraId="64A8FCED" w14:textId="70213FD8" w:rsidR="00F51B8C" w:rsidRPr="00C77930" w:rsidRDefault="00C77930" w:rsidP="00DF1D0C">
      <w:pPr>
        <w:ind w:firstLine="720"/>
      </w:pPr>
      <w:r>
        <w:t xml:space="preserve">Additionally, a </w:t>
      </w:r>
      <w:r>
        <w:rPr>
          <w:i/>
        </w:rPr>
        <w:t xml:space="preserve">size of the largest </w:t>
      </w:r>
      <w:r w:rsidR="00EC743B">
        <w:rPr>
          <w:i/>
        </w:rPr>
        <w:t xml:space="preserve">excluded </w:t>
      </w:r>
      <w:r>
        <w:rPr>
          <w:i/>
        </w:rPr>
        <w:t xml:space="preserve">group </w:t>
      </w:r>
      <w:r>
        <w:t>variable, which ranges from 0 to 0.98 as a percent of the population, is included to control for the size of the largest excluded group.</w:t>
      </w:r>
      <w:r w:rsidR="00EC743B">
        <w:t xml:space="preserve"> However, it is expected that because of the wide varianc</w:t>
      </w:r>
      <w:r w:rsidR="00376607">
        <w:t>e across countries in group size as a percent of population</w:t>
      </w:r>
      <w:r w:rsidR="00376607">
        <w:rPr>
          <w:rStyle w:val="FootnoteReference"/>
        </w:rPr>
        <w:footnoteReference w:id="7"/>
      </w:r>
      <w:r w:rsidR="00EC743B">
        <w:t xml:space="preserve">, a standardized measure which compares the proportion of those excluded along ethnic lines to the entire ethnopolitical population will more accurately capture the </w:t>
      </w:r>
      <w:r w:rsidR="00EC743B">
        <w:lastRenderedPageBreak/>
        <w:t xml:space="preserve">phenomenon of </w:t>
      </w:r>
      <w:r w:rsidR="00376607">
        <w:t xml:space="preserve">ethnic </w:t>
      </w:r>
      <w:r w:rsidR="00EC743B">
        <w:t>exclusion</w:t>
      </w:r>
      <w:r w:rsidR="00CF28CD">
        <w:t>. Since the excluded population variable focus</w:t>
      </w:r>
      <w:r w:rsidR="00355657">
        <w:t>es</w:t>
      </w:r>
      <w:r w:rsidR="00CF28CD">
        <w:t xml:space="preserve"> solely on the ethnopolitically </w:t>
      </w:r>
      <w:r w:rsidR="00DF1D0C">
        <w:t>relevant</w:t>
      </w:r>
      <w:r w:rsidR="00CF28CD">
        <w:t xml:space="preserve"> population, rather than an ethnic population in comparison with the gener</w:t>
      </w:r>
      <w:r w:rsidR="000A4FE7">
        <w:t>al population, it is also theoretically</w:t>
      </w:r>
      <w:r w:rsidR="00CF28CD">
        <w:t xml:space="preserve"> consistent.</w:t>
      </w:r>
    </w:p>
    <w:p w14:paraId="41FC000A" w14:textId="77777777" w:rsidR="002F5257" w:rsidRDefault="002F5257" w:rsidP="00474917">
      <w:r>
        <w:tab/>
        <w:t xml:space="preserve">The </w:t>
      </w:r>
      <w:r w:rsidRPr="00DF1D0C">
        <w:rPr>
          <w:i/>
        </w:rPr>
        <w:t>number of inclu</w:t>
      </w:r>
      <w:r w:rsidR="00E22CF1" w:rsidRPr="00DF1D0C">
        <w:rPr>
          <w:i/>
        </w:rPr>
        <w:t>ded groups</w:t>
      </w:r>
      <w:r w:rsidR="00E22CF1">
        <w:t xml:space="preserve"> variable varies from 1 to 14 and measures the </w:t>
      </w:r>
      <w:r w:rsidR="00DF1D0C">
        <w:t>number of ethnic groups that share power in the central government.</w:t>
      </w:r>
      <w:r w:rsidR="00DF1D0C">
        <w:rPr>
          <w:rStyle w:val="FootnoteReference"/>
        </w:rPr>
        <w:footnoteReference w:id="8"/>
      </w:r>
      <w:r w:rsidR="00DF1D0C">
        <w:t xml:space="preserve"> As the primary independent variable in the </w:t>
      </w:r>
      <w:r w:rsidR="00DF1D0C">
        <w:rPr>
          <w:i/>
        </w:rPr>
        <w:t xml:space="preserve">infighting </w:t>
      </w:r>
      <w:r w:rsidR="00DF1D0C">
        <w:t>model, i</w:t>
      </w:r>
      <w:r w:rsidR="000872E2">
        <w:t>t is hypothesized that the number of power sharing groups will positively impact the likelih</w:t>
      </w:r>
      <w:r w:rsidR="00DF1D0C">
        <w:t xml:space="preserve">ood of infighting as the polity becomes increasingly fragmented. </w:t>
      </w:r>
    </w:p>
    <w:p w14:paraId="49B81D52" w14:textId="4CBF4E74" w:rsidR="000A4FE7" w:rsidRPr="000A4FE7" w:rsidRDefault="000A4FE7" w:rsidP="00474917">
      <w:pPr>
        <w:rPr>
          <w:u w:val="single"/>
        </w:rPr>
      </w:pPr>
      <w:r w:rsidRPr="000A4FE7">
        <w:rPr>
          <w:u w:val="single"/>
        </w:rPr>
        <w:t>Control Variables</w:t>
      </w:r>
    </w:p>
    <w:p w14:paraId="7B9A67B4" w14:textId="44BA3D37" w:rsidR="00C3728B" w:rsidRDefault="000872E2" w:rsidP="00C3728B">
      <w:r>
        <w:tab/>
        <w:t xml:space="preserve">A number of control variables standard in the literature on ethnopolitical violence are also included. </w:t>
      </w:r>
      <w:r w:rsidR="00652D6F">
        <w:t xml:space="preserve">The present study improves upon the oil production measure used in </w:t>
      </w:r>
      <w:r w:rsidR="00652D6F" w:rsidRPr="00652D6F">
        <w:t>W</w:t>
      </w:r>
      <w:r w:rsidR="00652D6F">
        <w:t>immer, Cederman, and Min (2009</w:t>
      </w:r>
      <w:r w:rsidR="00A03461">
        <w:t>a</w:t>
      </w:r>
      <w:r w:rsidR="00652D6F">
        <w:t>)</w:t>
      </w:r>
      <w:r w:rsidR="006D773D">
        <w:t xml:space="preserve"> by generating</w:t>
      </w:r>
      <w:r w:rsidR="00A04EA2">
        <w:t xml:space="preserve"> a logged oil production variable</w:t>
      </w:r>
      <w:r w:rsidR="00DE03D0">
        <w:t>, lagged one year, that</w:t>
      </w:r>
      <w:r w:rsidR="00A04EA2">
        <w:t xml:space="preserve"> corrects the highly skewed distribution in the original variable.</w:t>
      </w:r>
      <w:r w:rsidR="00A04EA2">
        <w:rPr>
          <w:rStyle w:val="FootnoteReference"/>
        </w:rPr>
        <w:footnoteReference w:id="9"/>
      </w:r>
      <w:r w:rsidR="000A4FE7">
        <w:t xml:space="preserve"> Ross (2004</w:t>
      </w:r>
      <w:r w:rsidR="001D0718">
        <w:t xml:space="preserve">) </w:t>
      </w:r>
      <w:r w:rsidR="00A04C25">
        <w:t>has argued the presence of oil increases the likelihood a country will experience conflict</w:t>
      </w:r>
      <w:r w:rsidR="001D0718">
        <w:t>. While autocratic bargaining based theories</w:t>
      </w:r>
      <w:r w:rsidR="00A04C25">
        <w:t xml:space="preserve"> (similar</w:t>
      </w:r>
      <w:r w:rsidR="001C39DC">
        <w:t xml:space="preserve"> to Fearon and </w:t>
      </w:r>
      <w:r w:rsidR="00A04C25">
        <w:t>Laitin’s emphasis on state strength</w:t>
      </w:r>
      <w:r w:rsidR="001C39DC">
        <w:t>)</w:t>
      </w:r>
      <w:r w:rsidR="00A04C25">
        <w:t xml:space="preserve"> </w:t>
      </w:r>
      <w:r w:rsidR="001D0718">
        <w:t>suggest oil increases the capacity of a state to repress or</w:t>
      </w:r>
      <w:r w:rsidR="00A04C25">
        <w:t xml:space="preserve"> co-opt its citizens, </w:t>
      </w:r>
      <w:r w:rsidR="001D0718">
        <w:t>opportun</w:t>
      </w:r>
      <w:r w:rsidR="00A04C25">
        <w:t>ist theorists</w:t>
      </w:r>
      <w:r w:rsidR="001D0718">
        <w:t xml:space="preserve"> would suggest high oil wealth increases the incentives of rebel groups to capture the state and its associated resources. It is hypothesized that while oil-rich regions may be more prone to conflict over long periods of time, controlling directly for exclusion along ethnic lines will reduce the significance of oil upon the risk of conflict. </w:t>
      </w:r>
    </w:p>
    <w:p w14:paraId="6D89700E" w14:textId="01103E57" w:rsidR="001D0718" w:rsidRDefault="001D0718" w:rsidP="00C3728B">
      <w:pPr>
        <w:ind w:firstLine="720"/>
      </w:pPr>
      <w:r>
        <w:lastRenderedPageBreak/>
        <w:t>Similarly, GDP per capita is recoded as a logged variable to correct for ske</w:t>
      </w:r>
      <w:r w:rsidR="001A4E4B">
        <w:t>wness in the original variabl</w:t>
      </w:r>
      <w:r w:rsidR="00C3728B">
        <w:t>e,</w:t>
      </w:r>
      <w:r w:rsidR="0046632B">
        <w:rPr>
          <w:rStyle w:val="FootnoteReference"/>
        </w:rPr>
        <w:footnoteReference w:id="10"/>
      </w:r>
      <w:r w:rsidR="00C3728B">
        <w:t xml:space="preserve"> and is expected to reduce the likelihood o</w:t>
      </w:r>
      <w:r w:rsidR="00AF4CBA">
        <w:t>f conflict. Theoretical justification could come from economic modernization arguments which argue that higher GDP per capita increases the education, level of interaction with diverse groups, or civil society of a country. However, since the present study lags GDP pe</w:t>
      </w:r>
      <w:r w:rsidR="00A04C25">
        <w:t>r capita by only one</w:t>
      </w:r>
      <w:r w:rsidR="00AF4CBA">
        <w:t xml:space="preserve"> year, the negative effect of a country’s wealth on the onset of confl</w:t>
      </w:r>
      <w:r w:rsidR="00A04C25">
        <w:t>ict is expected to</w:t>
      </w:r>
      <w:r w:rsidR="00AF4CBA">
        <w:t xml:space="preserve"> be a function of the relative capacity of a state, similar to Fearon and Laitin’s (2003) weak state hypothesis.</w:t>
      </w:r>
    </w:p>
    <w:p w14:paraId="4C9CB91A" w14:textId="7E7D3C62" w:rsidR="0046632B" w:rsidRPr="00A867B2" w:rsidRDefault="0046632B" w:rsidP="00474917">
      <w:pPr>
        <w:rPr>
          <w:i/>
        </w:rPr>
      </w:pPr>
      <w:r>
        <w:tab/>
        <w:t>The size of the population is also included as a</w:t>
      </w:r>
      <w:r w:rsidR="00A867B2">
        <w:t xml:space="preserve"> natural log and lagged by a year</w:t>
      </w:r>
      <w:r>
        <w:t xml:space="preserve"> </w:t>
      </w:r>
      <w:r w:rsidR="001A4E4B">
        <w:t>to account for effects a larger popu</w:t>
      </w:r>
      <w:r w:rsidR="00F6678D">
        <w:t xml:space="preserve">lation may have on mobilization </w:t>
      </w:r>
      <w:r w:rsidR="001A4E4B">
        <w:t>(Jazayeri 2015).</w:t>
      </w:r>
      <w:r>
        <w:t xml:space="preserve"> </w:t>
      </w:r>
      <w:r w:rsidR="00803C98">
        <w:t xml:space="preserve">Larger populations are expected to increase the probability of conflict due to </w:t>
      </w:r>
      <w:r w:rsidR="00F6678D">
        <w:t>the greater opportunity of disside</w:t>
      </w:r>
      <w:r w:rsidR="00803C98">
        <w:t>nt groups forming</w:t>
      </w:r>
      <w:r w:rsidR="00F6678D">
        <w:t>,</w:t>
      </w:r>
      <w:r w:rsidR="00803C98">
        <w:t xml:space="preserve"> similar to what resource mobilization theories would suggest. Additionally, it is expected that governments have greater difficulty controlling larger populatio</w:t>
      </w:r>
      <w:r w:rsidR="00F6678D">
        <w:t>ns and such might provide rebel groups with a greater</w:t>
      </w:r>
      <w:r w:rsidR="00803C98">
        <w:t xml:space="preserve"> </w:t>
      </w:r>
      <w:r w:rsidR="00F6678D">
        <w:t>incentive to act</w:t>
      </w:r>
      <w:r w:rsidR="001A4E4B">
        <w:t xml:space="preserve"> (Fearon and Laitin 2003).</w:t>
      </w:r>
      <w:r w:rsidR="00A867B2">
        <w:t xml:space="preserve"> </w:t>
      </w:r>
    </w:p>
    <w:p w14:paraId="33760991" w14:textId="70ED0B28" w:rsidR="00961D1B" w:rsidRDefault="000C51CA" w:rsidP="00F51B8C">
      <w:r>
        <w:tab/>
        <w:t xml:space="preserve">To account for primordialist arguments, the standard ethnic-diversity </w:t>
      </w:r>
      <w:r w:rsidR="00DE03D0">
        <w:t>proxy variable</w:t>
      </w:r>
      <w:r w:rsidR="00803C98">
        <w:t xml:space="preserve"> of linguistic fractionalization</w:t>
      </w:r>
      <w:r>
        <w:t>,</w:t>
      </w:r>
      <w:r w:rsidR="00803C98">
        <w:t xml:space="preserve"> </w:t>
      </w:r>
      <w:r w:rsidR="006915BC">
        <w:t>based o</w:t>
      </w:r>
      <w:r w:rsidR="00DE03D0">
        <w:t xml:space="preserve">n the Soviet Atlas, is included in each model. </w:t>
      </w:r>
      <w:r w:rsidR="006915BC">
        <w:t xml:space="preserve">Linguistic fractionalization calculates the likelihood that two randomly selected citizens would </w:t>
      </w:r>
      <w:r w:rsidR="00DE03D0">
        <w:t>speak different languages. Similar to</w:t>
      </w:r>
      <w:r w:rsidR="006915BC">
        <w:t xml:space="preserve"> Esteban and Ray (</w:t>
      </w:r>
      <w:r w:rsidR="006915BC" w:rsidRPr="006915BC">
        <w:t>2008</w:t>
      </w:r>
      <w:r w:rsidR="006915BC">
        <w:t>)</w:t>
      </w:r>
      <w:r>
        <w:t>,</w:t>
      </w:r>
      <w:r w:rsidR="00DE03D0">
        <w:t xml:space="preserve"> who</w:t>
      </w:r>
      <w:r w:rsidR="006915BC">
        <w:t xml:space="preserve"> find fractionalization to have a positive effect on conflict, it is hypothesized that </w:t>
      </w:r>
      <w:r w:rsidR="00DE03D0">
        <w:t xml:space="preserve">the variable will be significant in the case of </w:t>
      </w:r>
      <w:r w:rsidR="00DE03D0">
        <w:rPr>
          <w:i/>
        </w:rPr>
        <w:t xml:space="preserve">rebellion </w:t>
      </w:r>
      <w:r w:rsidR="00DE03D0">
        <w:t xml:space="preserve">when exclusion and ethnic tension is theorized to be highly significant. However, in the case of </w:t>
      </w:r>
      <w:r w:rsidR="00DE03D0">
        <w:rPr>
          <w:i/>
        </w:rPr>
        <w:t>infighting</w:t>
      </w:r>
      <w:r w:rsidR="006915BC">
        <w:t xml:space="preserve">, it is expected that ethnic rivalries </w:t>
      </w:r>
      <w:r w:rsidR="00DE03D0">
        <w:t xml:space="preserve">will play a lesser role in the onset of conflict. Since exclusion is no longer the assumed driver of conflict, ethnic tensions are </w:t>
      </w:r>
      <w:r w:rsidR="006062C4">
        <w:t xml:space="preserve">expected to </w:t>
      </w:r>
      <w:r w:rsidR="006062C4">
        <w:lastRenderedPageBreak/>
        <w:t xml:space="preserve">become more operational within </w:t>
      </w:r>
      <w:r w:rsidR="00DE03D0">
        <w:t>the polity, thus rendering the linguistic fractionalization variable insignificant when controlling for the number of included groups.</w:t>
      </w:r>
      <w:r w:rsidR="00047B52">
        <w:t xml:space="preserve"> </w:t>
      </w:r>
      <w:r w:rsidR="008E744C">
        <w:t xml:space="preserve">Also </w:t>
      </w:r>
      <w:r w:rsidR="002456FE">
        <w:t>included as a control is a measure of mountainous terrain a</w:t>
      </w:r>
      <w:r w:rsidR="0016530E">
        <w:t xml:space="preserve">dopted </w:t>
      </w:r>
      <w:r w:rsidR="008E744C">
        <w:t>from Fearon and Laitin’s</w:t>
      </w:r>
      <w:r w:rsidR="002456FE">
        <w:t xml:space="preserve"> (2003) data set. While their insurgency—weak-state model</w:t>
      </w:r>
      <w:r w:rsidR="008E744C">
        <w:t xml:space="preserve"> hypothesize</w:t>
      </w:r>
      <w:r w:rsidR="002456FE">
        <w:t>s</w:t>
      </w:r>
      <w:r w:rsidR="008E744C">
        <w:t xml:space="preserve"> th</w:t>
      </w:r>
      <w:r w:rsidR="00961D1B">
        <w:t>at mountainous terrain facilitates conflict by providing insurgent groups with a place to hide, it is expected that geographic features will lose significance when controlling for political statu</w:t>
      </w:r>
      <w:r w:rsidR="002456FE">
        <w:t>s.</w:t>
      </w:r>
    </w:p>
    <w:p w14:paraId="5259C176" w14:textId="4B8DE6FB" w:rsidR="00351623" w:rsidRDefault="0016530E" w:rsidP="00F51B8C">
      <w:r>
        <w:tab/>
        <w:t>The colonial past variable is measured as the percentage of years a state has experienced imperial rule between 1816 and independence, and is expected to be particularl</w:t>
      </w:r>
      <w:r w:rsidR="00E427B3">
        <w:t>y important in those cases when</w:t>
      </w:r>
      <w:r>
        <w:t xml:space="preserve"> conflict is initiated by groups within the polity</w:t>
      </w:r>
      <w:r w:rsidR="00D26DA8">
        <w:t>.</w:t>
      </w:r>
      <w:r w:rsidR="00D26DA8">
        <w:rPr>
          <w:rStyle w:val="FootnoteReference"/>
        </w:rPr>
        <w:footnoteReference w:id="11"/>
      </w:r>
      <w:r w:rsidR="00740854">
        <w:t xml:space="preserve"> A measure of regime type </w:t>
      </w:r>
      <w:r w:rsidR="00E427B3">
        <w:t>is also included as a control. Based on Polity IV scores, t</w:t>
      </w:r>
      <w:r w:rsidR="00740854">
        <w:t>he anocracy dummy variable is</w:t>
      </w:r>
      <w:r w:rsidR="00256F6B">
        <w:t xml:space="preserve"> lagged one year and</w:t>
      </w:r>
      <w:r w:rsidR="00740854">
        <w:t xml:space="preserve"> included to control for regime type. </w:t>
      </w:r>
      <w:r w:rsidR="00E427B3">
        <w:t>While many previous studies (</w:t>
      </w:r>
      <w:r w:rsidR="009771A7">
        <w:t xml:space="preserve">Mousseau 2001; Muller and Seligson 1987; </w:t>
      </w:r>
      <w:r w:rsidR="00954719">
        <w:t xml:space="preserve">Scarritt, McMillan, and Mozaffar </w:t>
      </w:r>
      <w:r w:rsidR="009771A7">
        <w:t>2001</w:t>
      </w:r>
      <w:r w:rsidR="00E427B3">
        <w:t xml:space="preserve">) have found anocracies to be more susceptible to conflict, it is expected that controlling for the more nuanced measure of the political status of the groups within the polity will render this measure of regime type insignificant. </w:t>
      </w:r>
      <w:r w:rsidR="00351623">
        <w:t xml:space="preserve">The regime change variable is included as a dummy variable which is coded as one if a country experiences a change in the Polity </w:t>
      </w:r>
      <w:r w:rsidR="009771A7">
        <w:t xml:space="preserve">IV </w:t>
      </w:r>
      <w:r w:rsidR="00351623">
        <w:t>score of 3 or more points within the past three years.</w:t>
      </w:r>
      <w:r w:rsidR="00B56AAB">
        <w:t xml:space="preserve"> Those such as Fearo</w:t>
      </w:r>
      <w:r w:rsidR="00940B49">
        <w:t xml:space="preserve">n and Laitin (2003) </w:t>
      </w:r>
      <w:r w:rsidR="00B56AAB">
        <w:t>who use an insurgency</w:t>
      </w:r>
      <w:r w:rsidR="00940B49">
        <w:t xml:space="preserve"> model of conflict that emphasizes</w:t>
      </w:r>
      <w:r w:rsidR="00B56AAB">
        <w:t xml:space="preserve"> the increased likelihood of conflict in weak states have found regime change to be a significant predictor of conflict.</w:t>
      </w:r>
      <w:r w:rsidR="00AE0445">
        <w:rPr>
          <w:rStyle w:val="FootnoteReference"/>
        </w:rPr>
        <w:footnoteReference w:id="12"/>
      </w:r>
      <w:r w:rsidR="00B56AAB">
        <w:t xml:space="preserve"> </w:t>
      </w:r>
      <w:r w:rsidR="00940B49">
        <w:t xml:space="preserve">However, since the present study employs a lower-intensity </w:t>
      </w:r>
      <w:r w:rsidR="00940B49">
        <w:lastRenderedPageBreak/>
        <w:t xml:space="preserve">conflict threshold </w:t>
      </w:r>
      <w:r w:rsidR="00985426">
        <w:t xml:space="preserve">and includes theoretically </w:t>
      </w:r>
      <w:r w:rsidR="00D34588">
        <w:t>more relevant predictors to specific forms of conflict, regime change is not expected to have a significant impact in either model.</w:t>
      </w:r>
      <w:r w:rsidR="00746ED7">
        <w:t xml:space="preserve"> </w:t>
      </w:r>
    </w:p>
    <w:p w14:paraId="585FB823" w14:textId="5BB5A7C8" w:rsidR="00B37FDF" w:rsidRPr="00B37FDF" w:rsidRDefault="00B56AAB" w:rsidP="00B37FDF">
      <w:r>
        <w:tab/>
        <w:t>Since the present study measures the onset of conflict, a dummy variable</w:t>
      </w:r>
      <w:r w:rsidR="00C55984">
        <w:t xml:space="preserve"> is included</w:t>
      </w:r>
      <w:r>
        <w:t xml:space="preserve"> </w:t>
      </w:r>
      <w:r w:rsidR="00C55984">
        <w:t>which drops</w:t>
      </w:r>
      <w:r>
        <w:t xml:space="preserve"> ongoing conflicts </w:t>
      </w:r>
      <w:r w:rsidR="00C55984">
        <w:t xml:space="preserve">by including them as missing. Additionally, the study controls for potential time trends by including a variable which measures the number of peace years since the last onset of conflict as well as </w:t>
      </w:r>
      <w:r w:rsidR="00583245">
        <w:t>a series of cubic splines</w:t>
      </w:r>
      <w:r w:rsidR="00C55984">
        <w:t xml:space="preserve"> on the number of peace years </w:t>
      </w:r>
      <w:r w:rsidR="00583245">
        <w:t xml:space="preserve">similar to </w:t>
      </w:r>
      <w:r w:rsidR="00C55984">
        <w:t xml:space="preserve">Wimmer, Cederman, and Min </w:t>
      </w:r>
      <w:r w:rsidR="00583245">
        <w:t>(</w:t>
      </w:r>
      <w:r w:rsidR="00C55984">
        <w:t>2009</w:t>
      </w:r>
      <w:r w:rsidR="00A03461">
        <w:t>a</w:t>
      </w:r>
      <w:r w:rsidR="00C55984">
        <w:t xml:space="preserve">). </w:t>
      </w:r>
      <w:r w:rsidR="00954719">
        <w:t>Beck, Katz, and Tucker (2003</w:t>
      </w:r>
      <w:r w:rsidR="00A41544">
        <w:t>) recommend this as a strategy for avoiding a violation of the interdependence assumption of ordinary logit or probit when using a binary depende</w:t>
      </w:r>
      <w:r w:rsidR="00746ED7">
        <w:t>nt variable with a time-series—c</w:t>
      </w:r>
      <w:r w:rsidR="00C9571C">
        <w:t>ross-sectional data set, and the practice has become increasingly common in the IR literature</w:t>
      </w:r>
      <w:r w:rsidR="00337508">
        <w:t>.  However, it is important to note that there remains debate within the statistical literature on how to address time trends in logistic regressions conducted using cross-sectional—time-series data sets.</w:t>
      </w:r>
      <w:r w:rsidR="00337508">
        <w:rPr>
          <w:rStyle w:val="FootnoteReference"/>
        </w:rPr>
        <w:footnoteReference w:id="13"/>
      </w:r>
      <w:r w:rsidR="00093468">
        <w:t xml:space="preserve"> Given past studies and the existing literatur</w:t>
      </w:r>
      <w:r w:rsidR="00746ED7">
        <w:t>e, the proposed method is theorized</w:t>
      </w:r>
      <w:r w:rsidR="00093468">
        <w:t xml:space="preserve"> to provide the most accurate results.</w:t>
      </w:r>
    </w:p>
    <w:p w14:paraId="6B28029C" w14:textId="77777777" w:rsidR="00474917" w:rsidRDefault="00474917" w:rsidP="00474917">
      <w:pPr>
        <w:pStyle w:val="Heading1"/>
      </w:pPr>
      <w:r>
        <w:t>Model</w:t>
      </w:r>
    </w:p>
    <w:p w14:paraId="78F90A16" w14:textId="61015314" w:rsidR="00B2462F" w:rsidRDefault="00B37FDF" w:rsidP="00AA6E70">
      <w:r>
        <w:tab/>
        <w:t>The present study</w:t>
      </w:r>
      <w:r w:rsidR="00890A88">
        <w:t xml:space="preserve"> employs a </w:t>
      </w:r>
      <w:r w:rsidR="00890A88">
        <w:rPr>
          <w:i/>
        </w:rPr>
        <w:t xml:space="preserve">rebellion </w:t>
      </w:r>
      <w:r w:rsidR="00890A88">
        <w:t xml:space="preserve">and </w:t>
      </w:r>
      <w:r w:rsidR="00890A88">
        <w:rPr>
          <w:i/>
        </w:rPr>
        <w:t>infighting</w:t>
      </w:r>
      <w:r w:rsidR="00890A88">
        <w:t xml:space="preserve"> model</w:t>
      </w:r>
      <w:r>
        <w:t xml:space="preserve"> of rare events </w:t>
      </w:r>
      <w:r w:rsidR="00357AD7">
        <w:t>binary logistic regression</w:t>
      </w:r>
      <w:r>
        <w:t xml:space="preserve"> to determine the relative influence of </w:t>
      </w:r>
      <w:r w:rsidR="00357AD7">
        <w:t xml:space="preserve">a series of variables </w:t>
      </w:r>
      <w:r w:rsidR="00B2462F">
        <w:t>on the onset of armed rebellion against the state initi</w:t>
      </w:r>
      <w:r w:rsidR="00890A88">
        <w:t xml:space="preserve">ated by ethnic groups. The </w:t>
      </w:r>
      <w:r w:rsidR="00890A88">
        <w:rPr>
          <w:i/>
        </w:rPr>
        <w:t>rebellion</w:t>
      </w:r>
      <w:r w:rsidR="00B2462F">
        <w:t xml:space="preserve"> model tests the effects of the size of the excluded population on the onset of conflict initiated by groups excluded from th</w:t>
      </w:r>
      <w:r w:rsidR="00890A88">
        <w:t xml:space="preserve">e central government. The </w:t>
      </w:r>
      <w:r w:rsidR="00890A88">
        <w:rPr>
          <w:i/>
        </w:rPr>
        <w:t>infighting</w:t>
      </w:r>
      <w:r w:rsidR="00B2462F">
        <w:t xml:space="preserve"> model measures the effects of the number of groups included within the central government for its effects on ethnic conflict initiated by groups within the</w:t>
      </w:r>
      <w:r w:rsidR="00890A88">
        <w:t xml:space="preserve"> </w:t>
      </w:r>
      <w:r w:rsidR="00890A88">
        <w:lastRenderedPageBreak/>
        <w:t xml:space="preserve">central government. Each model utilizes robust standard errors and </w:t>
      </w:r>
      <w:r w:rsidR="00B2462F">
        <w:t xml:space="preserve">contains 7,630 observations clustered by 157 countries. </w:t>
      </w:r>
    </w:p>
    <w:tbl>
      <w:tblPr>
        <w:tblStyle w:val="PlainTable31"/>
        <w:tblW w:w="5058" w:type="dxa"/>
        <w:tblLook w:val="04A0" w:firstRow="1" w:lastRow="0" w:firstColumn="1" w:lastColumn="0" w:noHBand="0" w:noVBand="1"/>
      </w:tblPr>
      <w:tblGrid>
        <w:gridCol w:w="2358"/>
        <w:gridCol w:w="810"/>
        <w:gridCol w:w="1080"/>
        <w:gridCol w:w="810"/>
      </w:tblGrid>
      <w:tr w:rsidR="00890A88" w:rsidRPr="0077239B" w14:paraId="022CDE52" w14:textId="77777777" w:rsidTr="00890A8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248" w:type="dxa"/>
            <w:gridSpan w:val="3"/>
            <w:noWrap/>
            <w:vAlign w:val="center"/>
            <w:hideMark/>
          </w:tcPr>
          <w:p w14:paraId="0504F218" w14:textId="77777777" w:rsidR="00890A88" w:rsidRPr="00A5499A" w:rsidRDefault="00890A88" w:rsidP="00890A88">
            <w:pPr>
              <w:jc w:val="center"/>
              <w:rPr>
                <w:rFonts w:eastAsia="Times New Roman" w:cs="Times New Roman"/>
                <w:color w:val="000000"/>
                <w:szCs w:val="24"/>
              </w:rPr>
            </w:pPr>
            <w:r>
              <w:rPr>
                <w:rFonts w:eastAsia="Times New Roman" w:cs="Times New Roman"/>
                <w:caps w:val="0"/>
                <w:color w:val="000000"/>
                <w:szCs w:val="24"/>
              </w:rPr>
              <w:t xml:space="preserve">Table 1: </w:t>
            </w:r>
            <w:r w:rsidRPr="00A5499A">
              <w:rPr>
                <w:rFonts w:eastAsia="Times New Roman" w:cs="Times New Roman"/>
                <w:caps w:val="0"/>
                <w:color w:val="000000"/>
                <w:szCs w:val="24"/>
              </w:rPr>
              <w:t>Onset of war by group status</w:t>
            </w:r>
          </w:p>
        </w:tc>
        <w:tc>
          <w:tcPr>
            <w:tcW w:w="810" w:type="dxa"/>
            <w:noWrap/>
            <w:vAlign w:val="center"/>
            <w:hideMark/>
          </w:tcPr>
          <w:p w14:paraId="29C83F30" w14:textId="77777777" w:rsidR="00890A88" w:rsidRPr="00A5499A" w:rsidRDefault="00890A88" w:rsidP="00890A8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00890A88" w:rsidRPr="0077239B" w14:paraId="5C8E022C" w14:textId="77777777" w:rsidTr="00890A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vAlign w:val="center"/>
            <w:hideMark/>
          </w:tcPr>
          <w:p w14:paraId="0E59A704" w14:textId="77777777" w:rsidR="00890A88" w:rsidRPr="00A5499A" w:rsidRDefault="00890A88" w:rsidP="00890A88">
            <w:pPr>
              <w:jc w:val="center"/>
              <w:rPr>
                <w:rFonts w:eastAsia="Times New Roman" w:cs="Times New Roman"/>
                <w:color w:val="000000"/>
                <w:szCs w:val="24"/>
              </w:rPr>
            </w:pPr>
          </w:p>
        </w:tc>
        <w:tc>
          <w:tcPr>
            <w:tcW w:w="810" w:type="dxa"/>
            <w:noWrap/>
            <w:vAlign w:val="center"/>
            <w:hideMark/>
          </w:tcPr>
          <w:p w14:paraId="2068F2EA" w14:textId="77777777" w:rsidR="00890A88" w:rsidRPr="00890A88"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u w:val="single"/>
              </w:rPr>
            </w:pPr>
            <w:r w:rsidRPr="00890A88">
              <w:rPr>
                <w:rFonts w:eastAsia="Times New Roman" w:cs="Times New Roman"/>
                <w:color w:val="000000"/>
                <w:szCs w:val="24"/>
                <w:u w:val="single"/>
              </w:rPr>
              <w:t>Freq.</w:t>
            </w:r>
          </w:p>
        </w:tc>
        <w:tc>
          <w:tcPr>
            <w:tcW w:w="1080" w:type="dxa"/>
            <w:noWrap/>
            <w:vAlign w:val="center"/>
            <w:hideMark/>
          </w:tcPr>
          <w:p w14:paraId="753BB6CC" w14:textId="77777777" w:rsidR="00890A88" w:rsidRPr="00890A88"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u w:val="single"/>
              </w:rPr>
            </w:pPr>
            <w:r w:rsidRPr="00890A88">
              <w:rPr>
                <w:rFonts w:eastAsia="Times New Roman" w:cs="Times New Roman"/>
                <w:color w:val="000000"/>
                <w:szCs w:val="24"/>
                <w:u w:val="single"/>
              </w:rPr>
              <w:t>Percent</w:t>
            </w:r>
          </w:p>
        </w:tc>
        <w:tc>
          <w:tcPr>
            <w:tcW w:w="810" w:type="dxa"/>
            <w:noWrap/>
            <w:vAlign w:val="center"/>
            <w:hideMark/>
          </w:tcPr>
          <w:p w14:paraId="0EE0AE5E" w14:textId="77777777" w:rsidR="00890A88" w:rsidRPr="00890A88"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u w:val="single"/>
              </w:rPr>
            </w:pPr>
            <w:r w:rsidRPr="00890A88">
              <w:rPr>
                <w:rFonts w:eastAsia="Times New Roman" w:cs="Times New Roman"/>
                <w:color w:val="000000"/>
                <w:szCs w:val="24"/>
                <w:u w:val="single"/>
              </w:rPr>
              <w:t>Cum.</w:t>
            </w:r>
          </w:p>
        </w:tc>
      </w:tr>
      <w:tr w:rsidR="00890A88" w:rsidRPr="0077239B" w14:paraId="50DFFEF3" w14:textId="77777777" w:rsidTr="00890A88">
        <w:trPr>
          <w:trHeight w:val="300"/>
        </w:trPr>
        <w:tc>
          <w:tcPr>
            <w:cnfStyle w:val="001000000000" w:firstRow="0" w:lastRow="0" w:firstColumn="1" w:lastColumn="0" w:oddVBand="0" w:evenVBand="0" w:oddHBand="0" w:evenHBand="0" w:firstRowFirstColumn="0" w:firstRowLastColumn="0" w:lastRowFirstColumn="0" w:lastRowLastColumn="0"/>
            <w:tcW w:w="2358" w:type="dxa"/>
            <w:noWrap/>
            <w:vAlign w:val="center"/>
            <w:hideMark/>
          </w:tcPr>
          <w:p w14:paraId="4EF62A66" w14:textId="77777777" w:rsidR="00890A88" w:rsidRPr="00A5499A" w:rsidRDefault="00890A88" w:rsidP="00890A88">
            <w:pPr>
              <w:jc w:val="center"/>
              <w:rPr>
                <w:rFonts w:eastAsia="Times New Roman" w:cs="Times New Roman"/>
                <w:color w:val="000000"/>
                <w:szCs w:val="24"/>
              </w:rPr>
            </w:pPr>
            <w:r w:rsidRPr="00A5499A">
              <w:rPr>
                <w:rFonts w:eastAsia="Times New Roman" w:cs="Times New Roman"/>
                <w:caps w:val="0"/>
                <w:color w:val="000000"/>
                <w:szCs w:val="24"/>
              </w:rPr>
              <w:t>No conflict</w:t>
            </w:r>
            <w:r>
              <w:rPr>
                <w:rFonts w:eastAsia="Times New Roman" w:cs="Times New Roman"/>
                <w:caps w:val="0"/>
                <w:color w:val="000000"/>
                <w:szCs w:val="24"/>
              </w:rPr>
              <w:t xml:space="preserve"> (0)</w:t>
            </w:r>
          </w:p>
        </w:tc>
        <w:tc>
          <w:tcPr>
            <w:tcW w:w="810" w:type="dxa"/>
            <w:noWrap/>
            <w:vAlign w:val="bottom"/>
            <w:hideMark/>
          </w:tcPr>
          <w:p w14:paraId="54C571C8" w14:textId="77777777" w:rsidR="00890A88" w:rsidRPr="00A5499A" w:rsidRDefault="00890A88" w:rsidP="00890A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7,786</w:t>
            </w:r>
          </w:p>
        </w:tc>
        <w:tc>
          <w:tcPr>
            <w:tcW w:w="1080" w:type="dxa"/>
            <w:noWrap/>
            <w:vAlign w:val="bottom"/>
            <w:hideMark/>
          </w:tcPr>
          <w:p w14:paraId="35AAE09F" w14:textId="77777777" w:rsidR="00890A88" w:rsidRPr="00A5499A" w:rsidRDefault="00890A88" w:rsidP="00890A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98.46</w:t>
            </w:r>
          </w:p>
        </w:tc>
        <w:tc>
          <w:tcPr>
            <w:tcW w:w="810" w:type="dxa"/>
            <w:noWrap/>
            <w:vAlign w:val="bottom"/>
            <w:hideMark/>
          </w:tcPr>
          <w:p w14:paraId="7777FADE" w14:textId="77777777" w:rsidR="00890A88" w:rsidRPr="00A5499A" w:rsidRDefault="00890A88" w:rsidP="00890A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98.46</w:t>
            </w:r>
          </w:p>
        </w:tc>
      </w:tr>
      <w:tr w:rsidR="00890A88" w:rsidRPr="0077239B" w14:paraId="7857D5AB" w14:textId="77777777" w:rsidTr="00890A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vAlign w:val="center"/>
            <w:hideMark/>
          </w:tcPr>
          <w:p w14:paraId="3C44841F" w14:textId="77777777" w:rsidR="00890A88" w:rsidRPr="00A5499A" w:rsidRDefault="00890A88" w:rsidP="00890A88">
            <w:pPr>
              <w:jc w:val="center"/>
              <w:rPr>
                <w:rFonts w:eastAsia="Times New Roman" w:cs="Times New Roman"/>
                <w:color w:val="000000"/>
                <w:szCs w:val="24"/>
              </w:rPr>
            </w:pPr>
            <w:r>
              <w:rPr>
                <w:rFonts w:eastAsia="Times New Roman" w:cs="Times New Roman"/>
                <w:caps w:val="0"/>
                <w:color w:val="000000"/>
                <w:szCs w:val="24"/>
              </w:rPr>
              <w:t>Infighting (model 2)</w:t>
            </w:r>
          </w:p>
        </w:tc>
        <w:tc>
          <w:tcPr>
            <w:tcW w:w="810" w:type="dxa"/>
            <w:noWrap/>
            <w:vAlign w:val="bottom"/>
            <w:hideMark/>
          </w:tcPr>
          <w:p w14:paraId="2B8D7CEB" w14:textId="77777777" w:rsidR="00890A88" w:rsidRPr="00A5499A"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24</w:t>
            </w:r>
          </w:p>
        </w:tc>
        <w:tc>
          <w:tcPr>
            <w:tcW w:w="1080" w:type="dxa"/>
            <w:noWrap/>
            <w:vAlign w:val="bottom"/>
            <w:hideMark/>
          </w:tcPr>
          <w:p w14:paraId="6DFE0D2C" w14:textId="77777777" w:rsidR="00890A88" w:rsidRPr="00A5499A"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0.3</w:t>
            </w:r>
          </w:p>
        </w:tc>
        <w:tc>
          <w:tcPr>
            <w:tcW w:w="810" w:type="dxa"/>
            <w:noWrap/>
            <w:vAlign w:val="bottom"/>
            <w:hideMark/>
          </w:tcPr>
          <w:p w14:paraId="464C4DF7" w14:textId="77777777" w:rsidR="00890A88" w:rsidRPr="00A5499A"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98.76</w:t>
            </w:r>
          </w:p>
        </w:tc>
      </w:tr>
      <w:tr w:rsidR="00890A88" w:rsidRPr="0077239B" w14:paraId="53500F70" w14:textId="77777777" w:rsidTr="00890A88">
        <w:trPr>
          <w:trHeight w:val="300"/>
        </w:trPr>
        <w:tc>
          <w:tcPr>
            <w:cnfStyle w:val="001000000000" w:firstRow="0" w:lastRow="0" w:firstColumn="1" w:lastColumn="0" w:oddVBand="0" w:evenVBand="0" w:oddHBand="0" w:evenHBand="0" w:firstRowFirstColumn="0" w:firstRowLastColumn="0" w:lastRowFirstColumn="0" w:lastRowLastColumn="0"/>
            <w:tcW w:w="2358" w:type="dxa"/>
            <w:noWrap/>
            <w:vAlign w:val="center"/>
            <w:hideMark/>
          </w:tcPr>
          <w:p w14:paraId="5CACF243" w14:textId="77777777" w:rsidR="00890A88" w:rsidRPr="00A5499A" w:rsidRDefault="00890A88" w:rsidP="00890A88">
            <w:pPr>
              <w:jc w:val="center"/>
              <w:rPr>
                <w:rFonts w:eastAsia="Times New Roman" w:cs="Times New Roman"/>
                <w:color w:val="000000"/>
                <w:szCs w:val="24"/>
              </w:rPr>
            </w:pPr>
            <w:r>
              <w:rPr>
                <w:rFonts w:eastAsia="Times New Roman" w:cs="Times New Roman"/>
                <w:caps w:val="0"/>
                <w:color w:val="000000"/>
                <w:szCs w:val="24"/>
              </w:rPr>
              <w:t>Rebellion (model 1)</w:t>
            </w:r>
          </w:p>
        </w:tc>
        <w:tc>
          <w:tcPr>
            <w:tcW w:w="810" w:type="dxa"/>
            <w:noWrap/>
            <w:vAlign w:val="bottom"/>
            <w:hideMark/>
          </w:tcPr>
          <w:p w14:paraId="71D6D8F7" w14:textId="77777777" w:rsidR="00890A88" w:rsidRPr="00A5499A" w:rsidRDefault="00890A88" w:rsidP="00890A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98</w:t>
            </w:r>
          </w:p>
        </w:tc>
        <w:tc>
          <w:tcPr>
            <w:tcW w:w="1080" w:type="dxa"/>
            <w:noWrap/>
            <w:vAlign w:val="bottom"/>
            <w:hideMark/>
          </w:tcPr>
          <w:p w14:paraId="5A4E79C2" w14:textId="77777777" w:rsidR="00890A88" w:rsidRPr="00A5499A" w:rsidRDefault="00890A88" w:rsidP="00890A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1.24</w:t>
            </w:r>
          </w:p>
        </w:tc>
        <w:tc>
          <w:tcPr>
            <w:tcW w:w="810" w:type="dxa"/>
            <w:noWrap/>
            <w:vAlign w:val="bottom"/>
            <w:hideMark/>
          </w:tcPr>
          <w:p w14:paraId="0FA1F566" w14:textId="77777777" w:rsidR="00890A88" w:rsidRPr="00A5499A" w:rsidRDefault="00890A88" w:rsidP="00890A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100</w:t>
            </w:r>
          </w:p>
        </w:tc>
      </w:tr>
      <w:tr w:rsidR="00890A88" w:rsidRPr="0077239B" w14:paraId="2E82028D" w14:textId="77777777" w:rsidTr="00890A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vAlign w:val="center"/>
            <w:hideMark/>
          </w:tcPr>
          <w:p w14:paraId="416D1D2B" w14:textId="77777777" w:rsidR="00890A88" w:rsidRPr="00A5499A" w:rsidRDefault="00890A88" w:rsidP="00890A88">
            <w:pPr>
              <w:jc w:val="center"/>
              <w:rPr>
                <w:rFonts w:eastAsia="Times New Roman" w:cs="Times New Roman"/>
                <w:color w:val="000000"/>
                <w:szCs w:val="24"/>
              </w:rPr>
            </w:pPr>
            <w:r w:rsidRPr="00A5499A">
              <w:rPr>
                <w:rFonts w:eastAsia="Times New Roman" w:cs="Times New Roman"/>
                <w:caps w:val="0"/>
                <w:color w:val="000000"/>
                <w:szCs w:val="24"/>
              </w:rPr>
              <w:t>Total</w:t>
            </w:r>
          </w:p>
        </w:tc>
        <w:tc>
          <w:tcPr>
            <w:tcW w:w="810" w:type="dxa"/>
            <w:noWrap/>
            <w:vAlign w:val="bottom"/>
            <w:hideMark/>
          </w:tcPr>
          <w:p w14:paraId="1204E087" w14:textId="77777777" w:rsidR="00890A88" w:rsidRPr="00A5499A"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7,908</w:t>
            </w:r>
          </w:p>
        </w:tc>
        <w:tc>
          <w:tcPr>
            <w:tcW w:w="1080" w:type="dxa"/>
            <w:noWrap/>
            <w:vAlign w:val="bottom"/>
            <w:hideMark/>
          </w:tcPr>
          <w:p w14:paraId="60264FB7" w14:textId="77777777" w:rsidR="00890A88" w:rsidRPr="00A5499A"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A5499A">
              <w:rPr>
                <w:rFonts w:eastAsia="Times New Roman" w:cs="Times New Roman"/>
                <w:color w:val="000000"/>
                <w:szCs w:val="24"/>
              </w:rPr>
              <w:t>100</w:t>
            </w:r>
          </w:p>
        </w:tc>
        <w:tc>
          <w:tcPr>
            <w:tcW w:w="810" w:type="dxa"/>
            <w:noWrap/>
            <w:vAlign w:val="bottom"/>
            <w:hideMark/>
          </w:tcPr>
          <w:p w14:paraId="38CD13EB" w14:textId="77777777" w:rsidR="00890A88" w:rsidRPr="00A5499A" w:rsidRDefault="00890A88" w:rsidP="00890A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p>
        </w:tc>
      </w:tr>
    </w:tbl>
    <w:p w14:paraId="4CA8AF71" w14:textId="77777777" w:rsidR="00890A88" w:rsidRPr="00890A88" w:rsidRDefault="00890A88" w:rsidP="00AA6E70"/>
    <w:p w14:paraId="7E5F622E" w14:textId="5090A161" w:rsidR="005F481C" w:rsidRDefault="00B70810" w:rsidP="00DC4053">
      <w:pPr>
        <w:ind w:firstLine="720"/>
      </w:pPr>
      <w:r>
        <w:t xml:space="preserve">Table 1 </w:t>
      </w:r>
      <w:r w:rsidR="00890A88">
        <w:t xml:space="preserve">above </w:t>
      </w:r>
      <w:r>
        <w:t>provides descriptive statistics which demonstrate the rarity of conflict</w:t>
      </w:r>
      <w:r w:rsidR="00AA6E70">
        <w:t xml:space="preserve"> within the data set disaggregated by the type of conflict</w:t>
      </w:r>
      <w:r w:rsidR="00890A88">
        <w:t>.</w:t>
      </w:r>
      <w:r w:rsidR="00AA6E70">
        <w:t xml:space="preserve"> </w:t>
      </w:r>
      <w:r w:rsidR="00AA6E70" w:rsidRPr="003D28F1">
        <w:t>Rare events binary log</w:t>
      </w:r>
      <w:r w:rsidR="00890A88">
        <w:t xml:space="preserve">istic regression </w:t>
      </w:r>
      <w:r w:rsidR="00AA6E70" w:rsidRPr="003D28F1">
        <w:t>control</w:t>
      </w:r>
      <w:r w:rsidR="00AA6E70">
        <w:t>s</w:t>
      </w:r>
      <w:r w:rsidR="00AA6E70" w:rsidRPr="003D28F1">
        <w:t xml:space="preserve"> for bias in the logit coefficients that is the result of far fewer ones (the event of conflict) in the dependent variables than zeros (“nonevents,” i.e. the abse</w:t>
      </w:r>
      <w:r w:rsidR="00AA6E70">
        <w:t>nce of conflict) by accounting for the fact that ones provide more statistically relevant information than zeros (King and Zeng 2001;</w:t>
      </w:r>
      <w:r w:rsidR="00AA6E70" w:rsidRPr="00AA6E70">
        <w:t xml:space="preserve"> </w:t>
      </w:r>
      <w:r w:rsidR="00AA6E70">
        <w:t>Tomz, King, and Zeng 2003).</w:t>
      </w:r>
      <w:r w:rsidR="00AA6E70">
        <w:rPr>
          <w:rStyle w:val="FootnoteReference"/>
        </w:rPr>
        <w:footnoteReference w:id="14"/>
      </w:r>
      <w:r w:rsidR="00493BAA">
        <w:t xml:space="preserve"> By employing rare events logit in both significance testing and in computing the relative strength of the variables, the model provides statistically rigorous findings, which are discussed in the subsequent section.</w:t>
      </w:r>
      <w:r w:rsidR="00AA6E70">
        <w:t xml:space="preserve"> </w:t>
      </w:r>
    </w:p>
    <w:p w14:paraId="2C4680A3" w14:textId="77777777" w:rsidR="00474917" w:rsidRDefault="005F481C" w:rsidP="005F481C">
      <w:pPr>
        <w:pStyle w:val="Heading1"/>
      </w:pPr>
      <w:r>
        <w:lastRenderedPageBreak/>
        <w:t>Findings</w:t>
      </w:r>
    </w:p>
    <w:p w14:paraId="27C1C5DB" w14:textId="500A37D9" w:rsidR="00DC4053" w:rsidRPr="00193791" w:rsidRDefault="00DC4053" w:rsidP="00193791">
      <w:pPr>
        <w:ind w:firstLine="720"/>
      </w:pPr>
      <w:r>
        <w:t>Table 2</w:t>
      </w:r>
      <w:r w:rsidR="006E4BCB" w:rsidRPr="006E4BCB">
        <w:t xml:space="preserve"> </w:t>
      </w:r>
      <w:r w:rsidR="006E4BCB">
        <w:t xml:space="preserve">displays the results of </w:t>
      </w:r>
      <w:r w:rsidR="005A788C">
        <w:t xml:space="preserve">the dichotomous </w:t>
      </w:r>
      <w:r w:rsidR="006E4BCB">
        <w:t>onsets of rebellion and infighting regressed logistically on each of the 16 independent variables</w:t>
      </w:r>
      <w:r w:rsidR="006E4BCB">
        <w:rPr>
          <w:rStyle w:val="FooterChar"/>
        </w:rPr>
        <w:t>.</w:t>
      </w:r>
      <w:r>
        <w:rPr>
          <w:rStyle w:val="FootnoteReference"/>
        </w:rPr>
        <w:footnoteReference w:id="15"/>
      </w:r>
      <w:r w:rsidR="006E4BCB">
        <w:rPr>
          <w:rStyle w:val="FooterChar"/>
        </w:rPr>
        <w:t xml:space="preserve"> </w:t>
      </w:r>
      <w:r w:rsidR="005A788C">
        <w:rPr>
          <w:rStyle w:val="FooterChar"/>
        </w:rPr>
        <w:t>Panel I of Table 2 demonstrat</w:t>
      </w:r>
      <w:r w:rsidR="008E131A">
        <w:rPr>
          <w:rStyle w:val="FooterChar"/>
        </w:rPr>
        <w:t>es support for the hypothesis (</w:t>
      </w:r>
      <w:r w:rsidR="005A788C">
        <w:rPr>
          <w:rStyle w:val="FooterChar"/>
        </w:rPr>
        <w:t>H</w:t>
      </w:r>
      <w:r w:rsidR="005A788C" w:rsidRPr="005A788C">
        <w:rPr>
          <w:rStyle w:val="FooterChar"/>
          <w:vertAlign w:val="subscript"/>
        </w:rPr>
        <w:t>1</w:t>
      </w:r>
      <w:r w:rsidR="008E131A">
        <w:rPr>
          <w:rStyle w:val="FooterChar"/>
        </w:rPr>
        <w:t>)</w:t>
      </w:r>
      <w:r w:rsidR="005A788C">
        <w:rPr>
          <w:rStyle w:val="FooterChar"/>
        </w:rPr>
        <w:t xml:space="preserve"> that</w:t>
      </w:r>
      <w:r w:rsidR="005A788C">
        <w:t xml:space="preserve"> s</w:t>
      </w:r>
      <w:r w:rsidR="005A788C" w:rsidRPr="00001C39">
        <w:t xml:space="preserve">tates characterized by large shares of ethnopolitcal groups excluded from </w:t>
      </w:r>
      <w:r w:rsidR="005A788C">
        <w:t xml:space="preserve">the polity will </w:t>
      </w:r>
      <w:r w:rsidR="005A788C" w:rsidRPr="00001C39">
        <w:t xml:space="preserve">be more likely to experience </w:t>
      </w:r>
      <w:r w:rsidR="008E131A">
        <w:t>rebellion</w:t>
      </w:r>
      <w:r w:rsidR="005A788C">
        <w:rPr>
          <w:bCs/>
        </w:rPr>
        <w:t>. Similarly, panel</w:t>
      </w:r>
      <w:r w:rsidR="009F17EB">
        <w:rPr>
          <w:bCs/>
        </w:rPr>
        <w:t>s</w:t>
      </w:r>
      <w:r w:rsidR="005A788C">
        <w:rPr>
          <w:bCs/>
        </w:rPr>
        <w:t xml:space="preserve"> II</w:t>
      </w:r>
      <w:r w:rsidR="009F17EB">
        <w:rPr>
          <w:bCs/>
        </w:rPr>
        <w:t xml:space="preserve"> and III of Table 2 demonstrate </w:t>
      </w:r>
      <w:r w:rsidR="005A788C">
        <w:rPr>
          <w:bCs/>
        </w:rPr>
        <w:t>support for</w:t>
      </w:r>
      <w:r w:rsidR="008E131A">
        <w:rPr>
          <w:bCs/>
        </w:rPr>
        <w:t xml:space="preserve"> the hypothesis</w:t>
      </w:r>
      <w:r w:rsidR="005A788C">
        <w:rPr>
          <w:bCs/>
        </w:rPr>
        <w:t xml:space="preserve"> </w:t>
      </w:r>
      <w:r w:rsidR="008E131A">
        <w:rPr>
          <w:bCs/>
        </w:rPr>
        <w:t>(</w:t>
      </w:r>
      <w:r w:rsidR="005A788C">
        <w:rPr>
          <w:bCs/>
        </w:rPr>
        <w:t>H</w:t>
      </w:r>
      <w:r w:rsidR="005A788C" w:rsidRPr="005A788C">
        <w:rPr>
          <w:bCs/>
          <w:vertAlign w:val="subscript"/>
        </w:rPr>
        <w:t>2</w:t>
      </w:r>
      <w:r w:rsidR="008E131A">
        <w:rPr>
          <w:bCs/>
        </w:rPr>
        <w:t>)</w:t>
      </w:r>
      <w:r w:rsidR="005A788C">
        <w:rPr>
          <w:bCs/>
        </w:rPr>
        <w:t xml:space="preserve"> that </w:t>
      </w:r>
      <w:r w:rsidR="00990797">
        <w:t>infighting</w:t>
      </w:r>
      <w:r w:rsidR="005A788C" w:rsidRPr="003D28F1">
        <w:t xml:space="preserve"> is more likely when the polity is shared among a large number of political groups engaged </w:t>
      </w:r>
      <w:r w:rsidR="005A788C">
        <w:t>in competition with one another.</w:t>
      </w:r>
      <w:r w:rsidR="00193791" w:rsidRPr="00193791">
        <w:t xml:space="preserve"> </w:t>
      </w:r>
      <w:r w:rsidR="00193791">
        <w:t xml:space="preserve">Also as expected, while the share of the excluded population is a highly significant predictor of conflict in the </w:t>
      </w:r>
      <w:r w:rsidR="00193791">
        <w:rPr>
          <w:i/>
        </w:rPr>
        <w:t xml:space="preserve">rebellion </w:t>
      </w:r>
      <w:r w:rsidR="00193791">
        <w:t xml:space="preserve">model, it loses significance in the </w:t>
      </w:r>
      <w:r w:rsidR="00193791">
        <w:rPr>
          <w:i/>
        </w:rPr>
        <w:t xml:space="preserve">infighting </w:t>
      </w:r>
      <w:r w:rsidR="00193791">
        <w:t xml:space="preserve">model. Similarly, the number of included groups is significant only in the </w:t>
      </w:r>
      <w:r w:rsidR="00193791">
        <w:rPr>
          <w:i/>
        </w:rPr>
        <w:t xml:space="preserve">infighting </w:t>
      </w:r>
      <w:r w:rsidR="00193791">
        <w:t>model as the proposed theory would suggest.</w:t>
      </w:r>
    </w:p>
    <w:p w14:paraId="63E6F26D" w14:textId="30B04AAA" w:rsidR="005A788C" w:rsidRDefault="005A788C" w:rsidP="00265E35">
      <w:pPr>
        <w:ind w:firstLine="720"/>
      </w:pPr>
    </w:p>
    <w:p w14:paraId="75CFF43A" w14:textId="77777777" w:rsidR="0072311B" w:rsidRDefault="0072311B" w:rsidP="00265E35">
      <w:pPr>
        <w:ind w:firstLine="720"/>
      </w:pPr>
    </w:p>
    <w:p w14:paraId="45D93E32" w14:textId="77777777" w:rsidR="0072311B" w:rsidRDefault="0072311B" w:rsidP="00265E35">
      <w:pPr>
        <w:ind w:firstLine="720"/>
      </w:pPr>
    </w:p>
    <w:p w14:paraId="3A33D802" w14:textId="77777777" w:rsidR="0072311B" w:rsidRDefault="0072311B" w:rsidP="00265E35">
      <w:pPr>
        <w:ind w:firstLine="720"/>
      </w:pPr>
    </w:p>
    <w:p w14:paraId="71F2A861" w14:textId="77777777" w:rsidR="0072311B" w:rsidRDefault="0072311B" w:rsidP="00265E35">
      <w:pPr>
        <w:ind w:firstLine="720"/>
      </w:pPr>
    </w:p>
    <w:p w14:paraId="05328169" w14:textId="77777777" w:rsidR="0072311B" w:rsidRDefault="0072311B" w:rsidP="00265E35">
      <w:pPr>
        <w:ind w:firstLine="720"/>
      </w:pPr>
    </w:p>
    <w:p w14:paraId="7D9B4978" w14:textId="77777777" w:rsidR="0072311B" w:rsidRDefault="0072311B" w:rsidP="00265E35">
      <w:pPr>
        <w:ind w:firstLine="720"/>
      </w:pPr>
    </w:p>
    <w:tbl>
      <w:tblPr>
        <w:tblStyle w:val="PlainTable31"/>
        <w:tblW w:w="8748" w:type="dxa"/>
        <w:tblLook w:val="04A0" w:firstRow="1" w:lastRow="0" w:firstColumn="1" w:lastColumn="0" w:noHBand="0" w:noVBand="1"/>
      </w:tblPr>
      <w:tblGrid>
        <w:gridCol w:w="3424"/>
        <w:gridCol w:w="1454"/>
        <w:gridCol w:w="1827"/>
        <w:gridCol w:w="2043"/>
      </w:tblGrid>
      <w:tr w:rsidR="00865256" w:rsidRPr="00C42B81" w14:paraId="49ACA3FA" w14:textId="77777777" w:rsidTr="00384A8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748" w:type="dxa"/>
            <w:gridSpan w:val="4"/>
            <w:noWrap/>
            <w:hideMark/>
          </w:tcPr>
          <w:p w14:paraId="2DEF2008" w14:textId="61E43939" w:rsidR="00865256" w:rsidRPr="00121685" w:rsidRDefault="00865256" w:rsidP="00533E53">
            <w:pPr>
              <w:spacing w:line="240" w:lineRule="auto"/>
              <w:jc w:val="center"/>
              <w:rPr>
                <w:rFonts w:eastAsia="Times New Roman" w:cs="Times New Roman"/>
                <w:color w:val="000000"/>
                <w:szCs w:val="24"/>
              </w:rPr>
            </w:pPr>
            <w:r>
              <w:rPr>
                <w:rFonts w:eastAsia="Times New Roman" w:cs="Times New Roman"/>
                <w:caps w:val="0"/>
                <w:color w:val="000000"/>
                <w:szCs w:val="24"/>
              </w:rPr>
              <w:lastRenderedPageBreak/>
              <w:t xml:space="preserve">Table 2: </w:t>
            </w:r>
            <w:r w:rsidRPr="00121685">
              <w:rPr>
                <w:rFonts w:eastAsia="Times New Roman" w:cs="Times New Roman"/>
                <w:caps w:val="0"/>
                <w:color w:val="000000"/>
                <w:szCs w:val="24"/>
              </w:rPr>
              <w:t>Onset Of Ethnic Conflict By Group Status</w:t>
            </w:r>
            <w:r w:rsidRPr="0058625B">
              <w:rPr>
                <w:rFonts w:eastAsia="Times New Roman" w:cs="Times New Roman"/>
                <w:caps w:val="0"/>
                <w:color w:val="000000"/>
                <w:szCs w:val="24"/>
                <w:vertAlign w:val="superscript"/>
              </w:rPr>
              <w:t>+</w:t>
            </w:r>
          </w:p>
        </w:tc>
      </w:tr>
      <w:tr w:rsidR="0072311B" w:rsidRPr="00C42B81" w14:paraId="17ABC176" w14:textId="00F096EE"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7F1B9C30"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Variable</w:t>
            </w:r>
          </w:p>
        </w:tc>
        <w:tc>
          <w:tcPr>
            <w:tcW w:w="1454" w:type="dxa"/>
            <w:noWrap/>
            <w:hideMark/>
          </w:tcPr>
          <w:p w14:paraId="6143CCA1" w14:textId="77777777" w:rsidR="0072311B" w:rsidRPr="006E4BCB" w:rsidRDefault="0072311B" w:rsidP="006E4BC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Cs w:val="24"/>
              </w:rPr>
            </w:pPr>
            <w:r>
              <w:rPr>
                <w:rFonts w:eastAsia="Times New Roman" w:cs="Times New Roman"/>
                <w:b/>
                <w:color w:val="000000"/>
                <w:szCs w:val="24"/>
              </w:rPr>
              <w:t>I</w:t>
            </w:r>
            <w:r w:rsidRPr="006E4BCB">
              <w:rPr>
                <w:rFonts w:eastAsia="Times New Roman" w:cs="Times New Roman"/>
                <w:b/>
                <w:color w:val="000000"/>
                <w:szCs w:val="24"/>
              </w:rPr>
              <w:t>.</w:t>
            </w:r>
            <w:r>
              <w:rPr>
                <w:rFonts w:eastAsia="Times New Roman" w:cs="Times New Roman"/>
                <w:b/>
                <w:color w:val="000000"/>
                <w:szCs w:val="24"/>
              </w:rPr>
              <w:t xml:space="preserve"> </w:t>
            </w:r>
            <w:r w:rsidRPr="006E4BCB">
              <w:rPr>
                <w:rFonts w:eastAsia="Times New Roman" w:cs="Times New Roman"/>
                <w:b/>
                <w:color w:val="000000"/>
                <w:szCs w:val="24"/>
              </w:rPr>
              <w:t>Rebellion</w:t>
            </w:r>
          </w:p>
        </w:tc>
        <w:tc>
          <w:tcPr>
            <w:tcW w:w="1827" w:type="dxa"/>
            <w:noWrap/>
            <w:hideMark/>
          </w:tcPr>
          <w:p w14:paraId="7CF537E4" w14:textId="77777777" w:rsidR="0072311B"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Cs w:val="24"/>
              </w:rPr>
            </w:pPr>
            <w:r>
              <w:rPr>
                <w:rFonts w:eastAsia="Times New Roman" w:cs="Times New Roman"/>
                <w:b/>
                <w:color w:val="000000"/>
                <w:szCs w:val="24"/>
              </w:rPr>
              <w:t>II. Infighting</w:t>
            </w:r>
          </w:p>
          <w:p w14:paraId="010E2B9C" w14:textId="666E1851"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Cs w:val="24"/>
              </w:rPr>
            </w:pPr>
            <w:r>
              <w:rPr>
                <w:rFonts w:eastAsia="Times New Roman" w:cs="Times New Roman"/>
                <w:b/>
                <w:color w:val="000000"/>
                <w:szCs w:val="24"/>
              </w:rPr>
              <w:t>India included</w:t>
            </w:r>
          </w:p>
        </w:tc>
        <w:tc>
          <w:tcPr>
            <w:tcW w:w="2043" w:type="dxa"/>
          </w:tcPr>
          <w:p w14:paraId="28A7CA3F" w14:textId="77777777" w:rsidR="0072311B"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Cs w:val="24"/>
              </w:rPr>
            </w:pPr>
            <w:r>
              <w:rPr>
                <w:rFonts w:eastAsia="Times New Roman" w:cs="Times New Roman"/>
                <w:b/>
                <w:color w:val="000000"/>
                <w:szCs w:val="24"/>
              </w:rPr>
              <w:t>III. Infighting</w:t>
            </w:r>
          </w:p>
          <w:p w14:paraId="28DAE2D5" w14:textId="4114E4A7" w:rsidR="0072311B"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Cs w:val="24"/>
              </w:rPr>
            </w:pPr>
            <w:r>
              <w:rPr>
                <w:rFonts w:eastAsia="Times New Roman" w:cs="Times New Roman"/>
                <w:b/>
                <w:color w:val="000000"/>
                <w:szCs w:val="24"/>
              </w:rPr>
              <w:t>India excluded</w:t>
            </w:r>
          </w:p>
        </w:tc>
      </w:tr>
      <w:tr w:rsidR="0072311B" w:rsidRPr="00C42B81" w14:paraId="309B7077"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1BF7E414"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Ln(excluded population)</w:t>
            </w:r>
          </w:p>
        </w:tc>
        <w:tc>
          <w:tcPr>
            <w:tcW w:w="1454" w:type="dxa"/>
            <w:noWrap/>
            <w:hideMark/>
          </w:tcPr>
          <w:p w14:paraId="0FF5961B"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0.68***</w:t>
            </w:r>
          </w:p>
          <w:p w14:paraId="5B8C3E2F"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(0.14)</w:t>
            </w:r>
          </w:p>
        </w:tc>
        <w:tc>
          <w:tcPr>
            <w:tcW w:w="1827" w:type="dxa"/>
            <w:noWrap/>
            <w:hideMark/>
          </w:tcPr>
          <w:p w14:paraId="11F386E2"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-0.09</w:t>
            </w:r>
          </w:p>
          <w:p w14:paraId="468A3876"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(0.27)</w:t>
            </w:r>
          </w:p>
        </w:tc>
        <w:tc>
          <w:tcPr>
            <w:tcW w:w="2043" w:type="dxa"/>
          </w:tcPr>
          <w:p w14:paraId="38E0B913" w14:textId="77777777"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-0.06</w:t>
            </w:r>
          </w:p>
          <w:p w14:paraId="0089A19C" w14:textId="5BA87D32"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(0.27)</w:t>
            </w:r>
          </w:p>
        </w:tc>
      </w:tr>
      <w:tr w:rsidR="0072311B" w:rsidRPr="00C42B81" w14:paraId="0C268A33"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tcPr>
          <w:p w14:paraId="5636563A" w14:textId="2028E366"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Size of largest excluded group</w:t>
            </w:r>
          </w:p>
        </w:tc>
        <w:tc>
          <w:tcPr>
            <w:tcW w:w="1454" w:type="dxa"/>
            <w:noWrap/>
          </w:tcPr>
          <w:p w14:paraId="7D96D678"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-1.45</w:t>
            </w:r>
          </w:p>
          <w:p w14:paraId="1EAEACE9"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(0.87)</w:t>
            </w:r>
          </w:p>
        </w:tc>
        <w:tc>
          <w:tcPr>
            <w:tcW w:w="1827" w:type="dxa"/>
            <w:noWrap/>
          </w:tcPr>
          <w:p w14:paraId="7017C4B8"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-1.76</w:t>
            </w:r>
          </w:p>
          <w:p w14:paraId="5AE2C399"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(2.75)</w:t>
            </w:r>
          </w:p>
        </w:tc>
        <w:tc>
          <w:tcPr>
            <w:tcW w:w="2043" w:type="dxa"/>
          </w:tcPr>
          <w:p w14:paraId="69D7C965" w14:textId="77777777"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-1.81</w:t>
            </w:r>
          </w:p>
          <w:p w14:paraId="796E2C56" w14:textId="7D462769"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(3.08)</w:t>
            </w:r>
          </w:p>
        </w:tc>
      </w:tr>
      <w:tr w:rsidR="0072311B" w:rsidRPr="00C42B81" w14:paraId="48F9F878"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3D907F66" w14:textId="1656068E"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 of included groups</w:t>
            </w:r>
          </w:p>
        </w:tc>
        <w:tc>
          <w:tcPr>
            <w:tcW w:w="1454" w:type="dxa"/>
            <w:noWrap/>
            <w:hideMark/>
          </w:tcPr>
          <w:p w14:paraId="6B7440B9"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0.08</w:t>
            </w:r>
          </w:p>
          <w:p w14:paraId="65E3DCC9"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(0.05)</w:t>
            </w:r>
          </w:p>
        </w:tc>
        <w:tc>
          <w:tcPr>
            <w:tcW w:w="1827" w:type="dxa"/>
            <w:noWrap/>
            <w:hideMark/>
          </w:tcPr>
          <w:p w14:paraId="3A3DC2F4"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0.26***</w:t>
            </w:r>
          </w:p>
          <w:p w14:paraId="6E6CDF15"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(0.06)</w:t>
            </w:r>
          </w:p>
        </w:tc>
        <w:tc>
          <w:tcPr>
            <w:tcW w:w="2043" w:type="dxa"/>
          </w:tcPr>
          <w:p w14:paraId="771E80D7" w14:textId="0A2FE34E"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0.24</w:t>
            </w:r>
            <w:r w:rsidR="00865256">
              <w:rPr>
                <w:rFonts w:eastAsia="Times New Roman" w:cs="Times New Roman"/>
                <w:color w:val="000000"/>
                <w:szCs w:val="24"/>
              </w:rPr>
              <w:t>**</w:t>
            </w:r>
          </w:p>
          <w:p w14:paraId="4C569432" w14:textId="6841A473"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(0.09)</w:t>
            </w:r>
          </w:p>
        </w:tc>
      </w:tr>
      <w:tr w:rsidR="0072311B" w:rsidRPr="00C42B81" w14:paraId="447E8570"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38BDFB25"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Ln(Oil production per capita, lag)</w:t>
            </w:r>
          </w:p>
        </w:tc>
        <w:tc>
          <w:tcPr>
            <w:tcW w:w="1454" w:type="dxa"/>
            <w:noWrap/>
            <w:hideMark/>
          </w:tcPr>
          <w:p w14:paraId="6B589554"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0.09</w:t>
            </w:r>
          </w:p>
          <w:p w14:paraId="40659E05"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(0.03)</w:t>
            </w:r>
          </w:p>
        </w:tc>
        <w:tc>
          <w:tcPr>
            <w:tcW w:w="1827" w:type="dxa"/>
            <w:noWrap/>
            <w:hideMark/>
          </w:tcPr>
          <w:p w14:paraId="6844C3D8"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0.14</w:t>
            </w:r>
          </w:p>
          <w:p w14:paraId="311A1CA5"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(0.03)</w:t>
            </w:r>
          </w:p>
        </w:tc>
        <w:tc>
          <w:tcPr>
            <w:tcW w:w="2043" w:type="dxa"/>
          </w:tcPr>
          <w:p w14:paraId="1D93B89F" w14:textId="77777777"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0.09</w:t>
            </w:r>
          </w:p>
          <w:p w14:paraId="3B945CFF" w14:textId="471E5B31"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(0.09)</w:t>
            </w:r>
          </w:p>
        </w:tc>
      </w:tr>
      <w:tr w:rsidR="0072311B" w:rsidRPr="00C42B81" w14:paraId="0E7A5235"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44D2043C"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Ln(GDP per capita, lag)</w:t>
            </w:r>
          </w:p>
        </w:tc>
        <w:tc>
          <w:tcPr>
            <w:tcW w:w="1454" w:type="dxa"/>
            <w:noWrap/>
            <w:hideMark/>
          </w:tcPr>
          <w:p w14:paraId="47F956E0"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-0.08*</w:t>
            </w:r>
          </w:p>
          <w:p w14:paraId="4386AA7D"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(0.03)</w:t>
            </w:r>
          </w:p>
        </w:tc>
        <w:tc>
          <w:tcPr>
            <w:tcW w:w="1827" w:type="dxa"/>
            <w:noWrap/>
            <w:hideMark/>
          </w:tcPr>
          <w:p w14:paraId="6B330C32"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-0.13*</w:t>
            </w:r>
          </w:p>
          <w:p w14:paraId="2067D520"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(0.07)</w:t>
            </w:r>
          </w:p>
        </w:tc>
        <w:tc>
          <w:tcPr>
            <w:tcW w:w="2043" w:type="dxa"/>
          </w:tcPr>
          <w:p w14:paraId="729D3FD0" w14:textId="6A2FE453"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-0.52</w:t>
            </w:r>
            <w:r w:rsidR="00865256">
              <w:rPr>
                <w:rFonts w:eastAsia="Times New Roman" w:cs="Times New Roman"/>
                <w:color w:val="000000"/>
                <w:szCs w:val="24"/>
              </w:rPr>
              <w:t>*</w:t>
            </w:r>
          </w:p>
          <w:p w14:paraId="02D9187D" w14:textId="1D5AD4EB"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(0.20)</w:t>
            </w:r>
          </w:p>
        </w:tc>
      </w:tr>
      <w:tr w:rsidR="0072311B" w:rsidRPr="00C42B81" w14:paraId="01248B71"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05B06B23" w14:textId="15A606AD"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Ln(size of population, lag)</w:t>
            </w:r>
          </w:p>
        </w:tc>
        <w:tc>
          <w:tcPr>
            <w:tcW w:w="1454" w:type="dxa"/>
            <w:noWrap/>
            <w:hideMark/>
          </w:tcPr>
          <w:p w14:paraId="5C0AD3D0"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0.32***</w:t>
            </w:r>
          </w:p>
          <w:p w14:paraId="266CB1F3"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(0.09)</w:t>
            </w:r>
          </w:p>
        </w:tc>
        <w:tc>
          <w:tcPr>
            <w:tcW w:w="1827" w:type="dxa"/>
            <w:noWrap/>
            <w:hideMark/>
          </w:tcPr>
          <w:p w14:paraId="40A390A7"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-0.36**</w:t>
            </w:r>
          </w:p>
          <w:p w14:paraId="5DF1409D"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(0.12)</w:t>
            </w:r>
          </w:p>
        </w:tc>
        <w:tc>
          <w:tcPr>
            <w:tcW w:w="2043" w:type="dxa"/>
          </w:tcPr>
          <w:p w14:paraId="40A70C72" w14:textId="4A573ECF"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-0.45</w:t>
            </w:r>
            <w:r w:rsidR="00865256">
              <w:rPr>
                <w:rFonts w:eastAsia="Times New Roman" w:cs="Times New Roman"/>
                <w:color w:val="000000"/>
                <w:szCs w:val="24"/>
              </w:rPr>
              <w:t>**</w:t>
            </w:r>
          </w:p>
          <w:p w14:paraId="0D1C2CFE" w14:textId="6EC8AD10"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(0.17)</w:t>
            </w:r>
          </w:p>
        </w:tc>
      </w:tr>
      <w:tr w:rsidR="0072311B" w:rsidRPr="00C42B81" w14:paraId="6DA0212A"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720619BB" w14:textId="6395396B"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Linguistic fractionalization</w:t>
            </w:r>
          </w:p>
        </w:tc>
        <w:tc>
          <w:tcPr>
            <w:tcW w:w="1454" w:type="dxa"/>
            <w:noWrap/>
            <w:hideMark/>
          </w:tcPr>
          <w:p w14:paraId="6F16172A"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1.42**</w:t>
            </w:r>
          </w:p>
          <w:p w14:paraId="3D8391C8"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(0.49)</w:t>
            </w:r>
          </w:p>
        </w:tc>
        <w:tc>
          <w:tcPr>
            <w:tcW w:w="1827" w:type="dxa"/>
            <w:noWrap/>
            <w:hideMark/>
          </w:tcPr>
          <w:p w14:paraId="703A1391"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1.47</w:t>
            </w:r>
          </w:p>
          <w:p w14:paraId="7F0D9DFA"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(1.12)</w:t>
            </w:r>
          </w:p>
        </w:tc>
        <w:tc>
          <w:tcPr>
            <w:tcW w:w="2043" w:type="dxa"/>
          </w:tcPr>
          <w:p w14:paraId="23A42DEF" w14:textId="77777777"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1.76</w:t>
            </w:r>
          </w:p>
          <w:p w14:paraId="7337E2A0" w14:textId="75988BD0"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(1.11)</w:t>
            </w:r>
          </w:p>
        </w:tc>
      </w:tr>
      <w:tr w:rsidR="0072311B" w:rsidRPr="00C42B81" w14:paraId="1DBBB197"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33252C37" w14:textId="6C82EBAF"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Ln(mountainous terrain)</w:t>
            </w:r>
          </w:p>
        </w:tc>
        <w:tc>
          <w:tcPr>
            <w:tcW w:w="1454" w:type="dxa"/>
            <w:noWrap/>
            <w:hideMark/>
          </w:tcPr>
          <w:p w14:paraId="341DF972"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0.07</w:t>
            </w:r>
          </w:p>
          <w:p w14:paraId="7CF75E7B"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(0.11)</w:t>
            </w:r>
          </w:p>
        </w:tc>
        <w:tc>
          <w:tcPr>
            <w:tcW w:w="1827" w:type="dxa"/>
            <w:noWrap/>
            <w:hideMark/>
          </w:tcPr>
          <w:p w14:paraId="7F676766"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0.44*</w:t>
            </w:r>
          </w:p>
          <w:p w14:paraId="3CF6B921"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(0.19)</w:t>
            </w:r>
          </w:p>
        </w:tc>
        <w:tc>
          <w:tcPr>
            <w:tcW w:w="2043" w:type="dxa"/>
          </w:tcPr>
          <w:p w14:paraId="2D589CDA" w14:textId="1011724E"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0.42</w:t>
            </w:r>
            <w:r w:rsidR="00865256">
              <w:rPr>
                <w:rFonts w:eastAsia="Times New Roman" w:cs="Times New Roman"/>
                <w:color w:val="000000"/>
                <w:szCs w:val="24"/>
              </w:rPr>
              <w:t>*</w:t>
            </w:r>
          </w:p>
          <w:p w14:paraId="46E69FBC" w14:textId="6E7CCC18" w:rsidR="00B67967" w:rsidRPr="00B67967" w:rsidRDefault="00B67967" w:rsidP="00B6796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(0.19)</w:t>
            </w:r>
          </w:p>
        </w:tc>
      </w:tr>
      <w:tr w:rsidR="0072311B" w:rsidRPr="00C42B81" w14:paraId="3427794F"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4498AE12" w14:textId="3BCEBB41"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 of years of colonial past</w:t>
            </w:r>
          </w:p>
        </w:tc>
        <w:tc>
          <w:tcPr>
            <w:tcW w:w="1454" w:type="dxa"/>
            <w:noWrap/>
            <w:hideMark/>
          </w:tcPr>
          <w:p w14:paraId="305AB591"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0.08</w:t>
            </w:r>
          </w:p>
          <w:p w14:paraId="22F44B07"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(0.46)</w:t>
            </w:r>
          </w:p>
        </w:tc>
        <w:tc>
          <w:tcPr>
            <w:tcW w:w="1827" w:type="dxa"/>
            <w:noWrap/>
            <w:hideMark/>
          </w:tcPr>
          <w:p w14:paraId="3DC83CD2"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2.76*</w:t>
            </w:r>
          </w:p>
          <w:p w14:paraId="45D22ACA"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(1.14)</w:t>
            </w:r>
          </w:p>
        </w:tc>
        <w:tc>
          <w:tcPr>
            <w:tcW w:w="2043" w:type="dxa"/>
          </w:tcPr>
          <w:p w14:paraId="3CECD376" w14:textId="085ACB6B"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2.80</w:t>
            </w:r>
            <w:r w:rsidR="00865256">
              <w:rPr>
                <w:rFonts w:eastAsia="Times New Roman" w:cs="Times New Roman"/>
                <w:color w:val="000000"/>
                <w:szCs w:val="24"/>
              </w:rPr>
              <w:t>*</w:t>
            </w:r>
          </w:p>
          <w:p w14:paraId="1EE2FA6F" w14:textId="005234D9"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(1.26)</w:t>
            </w:r>
          </w:p>
        </w:tc>
      </w:tr>
      <w:tr w:rsidR="0072311B" w:rsidRPr="00C42B81" w14:paraId="57D5E2FB"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69658C83"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Anocracy, lag</w:t>
            </w:r>
          </w:p>
        </w:tc>
        <w:tc>
          <w:tcPr>
            <w:tcW w:w="1454" w:type="dxa"/>
            <w:noWrap/>
            <w:hideMark/>
          </w:tcPr>
          <w:p w14:paraId="77CC5BFF"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0.37</w:t>
            </w:r>
          </w:p>
          <w:p w14:paraId="75F240BE"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(0.23)</w:t>
            </w:r>
          </w:p>
        </w:tc>
        <w:tc>
          <w:tcPr>
            <w:tcW w:w="1827" w:type="dxa"/>
            <w:noWrap/>
            <w:hideMark/>
          </w:tcPr>
          <w:p w14:paraId="5254DD10"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0.44</w:t>
            </w:r>
          </w:p>
          <w:p w14:paraId="1CB18CC6"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(0.40)</w:t>
            </w:r>
          </w:p>
        </w:tc>
        <w:tc>
          <w:tcPr>
            <w:tcW w:w="2043" w:type="dxa"/>
          </w:tcPr>
          <w:p w14:paraId="15D7DF12" w14:textId="77777777"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0.52</w:t>
            </w:r>
          </w:p>
          <w:p w14:paraId="293F4961" w14:textId="2097085E"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(0.44)</w:t>
            </w:r>
          </w:p>
        </w:tc>
      </w:tr>
      <w:tr w:rsidR="0072311B" w:rsidRPr="00C42B81" w14:paraId="1CFBD30B"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43719A04" w14:textId="15956D83"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Regime change in last 3 years</w:t>
            </w:r>
          </w:p>
        </w:tc>
        <w:tc>
          <w:tcPr>
            <w:tcW w:w="1454" w:type="dxa"/>
            <w:noWrap/>
            <w:hideMark/>
          </w:tcPr>
          <w:p w14:paraId="782E5554"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0.16</w:t>
            </w:r>
          </w:p>
          <w:p w14:paraId="248C7B77"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(0.29)</w:t>
            </w:r>
          </w:p>
        </w:tc>
        <w:tc>
          <w:tcPr>
            <w:tcW w:w="1827" w:type="dxa"/>
            <w:noWrap/>
            <w:hideMark/>
          </w:tcPr>
          <w:p w14:paraId="308CF2BF"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0.11</w:t>
            </w:r>
          </w:p>
          <w:p w14:paraId="2A496639"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(0.59)</w:t>
            </w:r>
          </w:p>
        </w:tc>
        <w:tc>
          <w:tcPr>
            <w:tcW w:w="2043" w:type="dxa"/>
          </w:tcPr>
          <w:p w14:paraId="44AEA14A" w14:textId="77777777"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0.12</w:t>
            </w:r>
          </w:p>
          <w:p w14:paraId="12C3AD0F" w14:textId="7A9956AF"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(0.61)</w:t>
            </w:r>
          </w:p>
        </w:tc>
      </w:tr>
      <w:tr w:rsidR="0072311B" w:rsidRPr="00C42B81" w14:paraId="5E62F3DF"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03DC03D9" w14:textId="7A6E755C"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Ongoing war drop variable</w:t>
            </w:r>
          </w:p>
        </w:tc>
        <w:tc>
          <w:tcPr>
            <w:tcW w:w="1454" w:type="dxa"/>
            <w:noWrap/>
            <w:hideMark/>
          </w:tcPr>
          <w:p w14:paraId="2A8C4DD0"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0.07</w:t>
            </w:r>
          </w:p>
          <w:p w14:paraId="6391DDF5"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(0.67)</w:t>
            </w:r>
          </w:p>
        </w:tc>
        <w:tc>
          <w:tcPr>
            <w:tcW w:w="1827" w:type="dxa"/>
            <w:noWrap/>
            <w:hideMark/>
          </w:tcPr>
          <w:p w14:paraId="19073C17"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0.61</w:t>
            </w:r>
          </w:p>
          <w:p w14:paraId="459903D0"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(0.97)</w:t>
            </w:r>
          </w:p>
        </w:tc>
        <w:tc>
          <w:tcPr>
            <w:tcW w:w="2043" w:type="dxa"/>
          </w:tcPr>
          <w:p w14:paraId="679F78F9" w14:textId="77777777"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0.32</w:t>
            </w:r>
          </w:p>
          <w:p w14:paraId="6E840225" w14:textId="125A013F"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(0.95)</w:t>
            </w:r>
          </w:p>
        </w:tc>
      </w:tr>
      <w:tr w:rsidR="0072311B" w:rsidRPr="00C42B81" w14:paraId="2119D5C5"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15328D6D" w14:textId="6BF0DCF8"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Number of peace years since last conflict</w:t>
            </w:r>
          </w:p>
        </w:tc>
        <w:tc>
          <w:tcPr>
            <w:tcW w:w="1454" w:type="dxa"/>
            <w:noWrap/>
            <w:hideMark/>
          </w:tcPr>
          <w:p w14:paraId="4F685927"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0.13</w:t>
            </w:r>
          </w:p>
          <w:p w14:paraId="7130FCBD"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(0.26)</w:t>
            </w:r>
          </w:p>
        </w:tc>
        <w:tc>
          <w:tcPr>
            <w:tcW w:w="1827" w:type="dxa"/>
            <w:noWrap/>
            <w:hideMark/>
          </w:tcPr>
          <w:p w14:paraId="284EDC80"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0.21</w:t>
            </w:r>
          </w:p>
          <w:p w14:paraId="746DE2CE"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(0.34)</w:t>
            </w:r>
          </w:p>
        </w:tc>
        <w:tc>
          <w:tcPr>
            <w:tcW w:w="2043" w:type="dxa"/>
          </w:tcPr>
          <w:p w14:paraId="21EE77C6" w14:textId="77777777"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0.20</w:t>
            </w:r>
          </w:p>
          <w:p w14:paraId="67E63C3E" w14:textId="41C7D5E4"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(0.33)</w:t>
            </w:r>
          </w:p>
        </w:tc>
      </w:tr>
      <w:tr w:rsidR="0072311B" w:rsidRPr="00C42B81" w14:paraId="34C9FEFE"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772AA9D9" w14:textId="5475AF03"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Nspline1</w:t>
            </w:r>
          </w:p>
        </w:tc>
        <w:tc>
          <w:tcPr>
            <w:tcW w:w="1454" w:type="dxa"/>
            <w:noWrap/>
            <w:hideMark/>
          </w:tcPr>
          <w:p w14:paraId="3AC2EE61"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0.01</w:t>
            </w:r>
          </w:p>
          <w:p w14:paraId="633FE583"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(0.01)</w:t>
            </w:r>
          </w:p>
        </w:tc>
        <w:tc>
          <w:tcPr>
            <w:tcW w:w="1827" w:type="dxa"/>
            <w:noWrap/>
            <w:hideMark/>
          </w:tcPr>
          <w:p w14:paraId="41CE6B6D"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0.01</w:t>
            </w:r>
          </w:p>
          <w:p w14:paraId="26FC1AA7"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(0.01)</w:t>
            </w:r>
          </w:p>
        </w:tc>
        <w:tc>
          <w:tcPr>
            <w:tcW w:w="2043" w:type="dxa"/>
          </w:tcPr>
          <w:p w14:paraId="0C2A2690" w14:textId="77777777"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0.00</w:t>
            </w:r>
          </w:p>
          <w:p w14:paraId="0FBF783E" w14:textId="481606E1"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(0.01)</w:t>
            </w:r>
          </w:p>
        </w:tc>
      </w:tr>
      <w:tr w:rsidR="0072311B" w:rsidRPr="00C42B81" w14:paraId="33EB32C7"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444814D7"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Nspline2</w:t>
            </w:r>
          </w:p>
        </w:tc>
        <w:tc>
          <w:tcPr>
            <w:tcW w:w="1454" w:type="dxa"/>
            <w:noWrap/>
            <w:hideMark/>
          </w:tcPr>
          <w:p w14:paraId="1C544949"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p w14:paraId="688C2C71"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tc>
        <w:tc>
          <w:tcPr>
            <w:tcW w:w="1827" w:type="dxa"/>
            <w:noWrap/>
            <w:hideMark/>
          </w:tcPr>
          <w:p w14:paraId="480D070F"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p w14:paraId="36D4A9E9"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tc>
        <w:tc>
          <w:tcPr>
            <w:tcW w:w="2043" w:type="dxa"/>
          </w:tcPr>
          <w:p w14:paraId="383B7A3C" w14:textId="77777777"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0.00</w:t>
            </w:r>
          </w:p>
          <w:p w14:paraId="76E7ACF4" w14:textId="5CCD2032"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(0.00)</w:t>
            </w:r>
          </w:p>
        </w:tc>
      </w:tr>
      <w:tr w:rsidR="0072311B" w:rsidRPr="00C42B81" w14:paraId="1BB03DE1"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6107C040"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Nspline3</w:t>
            </w:r>
          </w:p>
        </w:tc>
        <w:tc>
          <w:tcPr>
            <w:tcW w:w="1454" w:type="dxa"/>
            <w:noWrap/>
            <w:hideMark/>
          </w:tcPr>
          <w:p w14:paraId="01674DCA"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p w14:paraId="731FFF7E"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tc>
        <w:tc>
          <w:tcPr>
            <w:tcW w:w="1827" w:type="dxa"/>
            <w:noWrap/>
            <w:hideMark/>
          </w:tcPr>
          <w:p w14:paraId="74AC323F"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p w14:paraId="0D1085E3"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(0.00)</w:t>
            </w:r>
          </w:p>
        </w:tc>
        <w:tc>
          <w:tcPr>
            <w:tcW w:w="2043" w:type="dxa"/>
          </w:tcPr>
          <w:p w14:paraId="239C76A2" w14:textId="77777777" w:rsidR="0072311B"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0.00</w:t>
            </w:r>
          </w:p>
          <w:p w14:paraId="0FE6BE03" w14:textId="447FEA3C" w:rsidR="00B67967" w:rsidRPr="00B67967" w:rsidRDefault="00B67967"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(0.00)</w:t>
            </w:r>
          </w:p>
        </w:tc>
      </w:tr>
      <w:tr w:rsidR="0072311B" w:rsidRPr="00C42B81" w14:paraId="2C8E579C"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534291AA"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_Cons</w:t>
            </w:r>
          </w:p>
        </w:tc>
        <w:tc>
          <w:tcPr>
            <w:tcW w:w="1454" w:type="dxa"/>
            <w:noWrap/>
            <w:hideMark/>
          </w:tcPr>
          <w:p w14:paraId="3BDB180D"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-9.96***</w:t>
            </w:r>
          </w:p>
          <w:p w14:paraId="5F3676C6"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(1.17)</w:t>
            </w:r>
          </w:p>
        </w:tc>
        <w:tc>
          <w:tcPr>
            <w:tcW w:w="1827" w:type="dxa"/>
            <w:noWrap/>
            <w:hideMark/>
          </w:tcPr>
          <w:p w14:paraId="4C54D60E"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-6.52***</w:t>
            </w:r>
          </w:p>
          <w:p w14:paraId="6DA4AD1A"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(1.78)</w:t>
            </w:r>
          </w:p>
        </w:tc>
        <w:tc>
          <w:tcPr>
            <w:tcW w:w="2043" w:type="dxa"/>
          </w:tcPr>
          <w:p w14:paraId="7A49E146" w14:textId="1E3A7A60"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-5.40</w:t>
            </w:r>
            <w:r w:rsidR="00865256">
              <w:rPr>
                <w:rFonts w:eastAsia="Times New Roman" w:cs="Times New Roman"/>
                <w:color w:val="000000"/>
                <w:szCs w:val="24"/>
              </w:rPr>
              <w:t>*</w:t>
            </w:r>
          </w:p>
          <w:p w14:paraId="7B6323D1" w14:textId="5F28F5B3" w:rsidR="00B67967"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(2.19)</w:t>
            </w:r>
          </w:p>
        </w:tc>
      </w:tr>
      <w:tr w:rsidR="0072311B" w:rsidRPr="00C42B81" w14:paraId="312A4A38" w14:textId="77777777" w:rsidTr="00384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6BC3BDC2" w14:textId="7F5446B1" w:rsidR="0072311B" w:rsidRPr="00121685" w:rsidRDefault="0072311B" w:rsidP="00533E53">
            <w:pPr>
              <w:spacing w:line="240" w:lineRule="auto"/>
              <w:jc w:val="center"/>
              <w:rPr>
                <w:rFonts w:eastAsia="Times New Roman" w:cs="Times New Roman"/>
                <w:color w:val="000000"/>
                <w:szCs w:val="24"/>
              </w:rPr>
            </w:pPr>
          </w:p>
        </w:tc>
        <w:tc>
          <w:tcPr>
            <w:tcW w:w="1454" w:type="dxa"/>
            <w:noWrap/>
            <w:hideMark/>
          </w:tcPr>
          <w:p w14:paraId="4F539D42"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p>
        </w:tc>
        <w:tc>
          <w:tcPr>
            <w:tcW w:w="1827" w:type="dxa"/>
            <w:noWrap/>
            <w:hideMark/>
          </w:tcPr>
          <w:p w14:paraId="794B4EC0" w14:textId="77777777" w:rsidR="0072311B" w:rsidRPr="00121685"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p>
        </w:tc>
        <w:tc>
          <w:tcPr>
            <w:tcW w:w="2043" w:type="dxa"/>
          </w:tcPr>
          <w:p w14:paraId="3E555988" w14:textId="77777777" w:rsidR="0072311B" w:rsidRPr="00B67967" w:rsidRDefault="0072311B" w:rsidP="00533E5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rPr>
            </w:pPr>
          </w:p>
        </w:tc>
      </w:tr>
      <w:tr w:rsidR="0072311B" w:rsidRPr="00C42B81" w14:paraId="25F2D37E" w14:textId="77777777" w:rsidTr="00384A81">
        <w:trPr>
          <w:trHeight w:val="300"/>
        </w:trPr>
        <w:tc>
          <w:tcPr>
            <w:cnfStyle w:val="001000000000" w:firstRow="0" w:lastRow="0" w:firstColumn="1" w:lastColumn="0" w:oddVBand="0" w:evenVBand="0" w:oddHBand="0" w:evenHBand="0" w:firstRowFirstColumn="0" w:firstRowLastColumn="0" w:lastRowFirstColumn="0" w:lastRowLastColumn="0"/>
            <w:tcW w:w="3424" w:type="dxa"/>
            <w:noWrap/>
            <w:hideMark/>
          </w:tcPr>
          <w:p w14:paraId="3E6E1851" w14:textId="77777777" w:rsidR="0072311B" w:rsidRPr="00121685" w:rsidRDefault="0072311B" w:rsidP="00533E53">
            <w:pPr>
              <w:spacing w:line="240" w:lineRule="auto"/>
              <w:jc w:val="center"/>
              <w:rPr>
                <w:rFonts w:eastAsia="Times New Roman" w:cs="Times New Roman"/>
                <w:color w:val="000000"/>
                <w:szCs w:val="24"/>
              </w:rPr>
            </w:pPr>
            <w:r w:rsidRPr="00121685">
              <w:rPr>
                <w:rFonts w:eastAsia="Times New Roman" w:cs="Times New Roman"/>
                <w:caps w:val="0"/>
                <w:color w:val="000000"/>
                <w:szCs w:val="24"/>
              </w:rPr>
              <w:t>N</w:t>
            </w:r>
          </w:p>
        </w:tc>
        <w:tc>
          <w:tcPr>
            <w:tcW w:w="1454" w:type="dxa"/>
            <w:noWrap/>
            <w:hideMark/>
          </w:tcPr>
          <w:p w14:paraId="20A7AA54"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7630</w:t>
            </w:r>
          </w:p>
        </w:tc>
        <w:tc>
          <w:tcPr>
            <w:tcW w:w="1827" w:type="dxa"/>
            <w:noWrap/>
            <w:hideMark/>
          </w:tcPr>
          <w:p w14:paraId="77E8AF39" w14:textId="77777777" w:rsidR="0072311B" w:rsidRPr="00121685" w:rsidRDefault="0072311B"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121685">
              <w:rPr>
                <w:rFonts w:eastAsia="Times New Roman" w:cs="Times New Roman"/>
                <w:color w:val="000000"/>
                <w:szCs w:val="24"/>
              </w:rPr>
              <w:t>7630</w:t>
            </w:r>
          </w:p>
        </w:tc>
        <w:tc>
          <w:tcPr>
            <w:tcW w:w="2043" w:type="dxa"/>
          </w:tcPr>
          <w:p w14:paraId="3C4CD8F8" w14:textId="4166C88B" w:rsidR="0072311B" w:rsidRPr="00B67967" w:rsidRDefault="00B67967" w:rsidP="00533E5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B67967">
              <w:rPr>
                <w:rFonts w:eastAsia="Times New Roman" w:cs="Times New Roman"/>
                <w:color w:val="000000"/>
                <w:szCs w:val="24"/>
              </w:rPr>
              <w:t>7570</w:t>
            </w:r>
          </w:p>
        </w:tc>
      </w:tr>
    </w:tbl>
    <w:p w14:paraId="6FA84C5B" w14:textId="6C27E8B3" w:rsidR="00DE7683" w:rsidRDefault="0058625B" w:rsidP="008301E1">
      <w:r w:rsidRPr="0058625B">
        <w:rPr>
          <w:vertAlign w:val="superscript"/>
        </w:rPr>
        <w:t>+</w:t>
      </w:r>
      <w:r w:rsidR="001B1A98">
        <w:rPr>
          <w:vertAlign w:val="superscript"/>
        </w:rPr>
        <w:t xml:space="preserve"> </w:t>
      </w:r>
      <w:r w:rsidR="001B1A98">
        <w:t xml:space="preserve"> </w:t>
      </w:r>
      <m:oMath>
        <m:f>
          <m:fPr>
            <m:ctrlPr>
              <w:rPr>
                <w:rFonts w:ascii="Cambria Math" w:hAnsi="Cambria Math"/>
                <w:i/>
              </w:rPr>
            </m:ctrlPr>
          </m:fPr>
          <m:num>
            <m:r>
              <w:rPr>
                <w:rFonts w:ascii="Cambria Math" w:hAnsi="Cambria Math"/>
              </w:rPr>
              <m:t>Coeff.</m:t>
            </m:r>
          </m:num>
          <m:den>
            <m:r>
              <w:rPr>
                <w:rFonts w:ascii="Cambria Math" w:hAnsi="Cambria Math"/>
              </w:rPr>
              <m:t>(S.E.)</m:t>
            </m:r>
          </m:den>
        </m:f>
      </m:oMath>
      <w:r w:rsidR="001B1A98">
        <w:t xml:space="preserve">      </w:t>
      </w:r>
      <w:r w:rsidR="00CB3328" w:rsidRPr="00CB3328">
        <w:t>*p &lt; .05, ** p &lt; .01, *** p &lt; .001, for a two-tailed test</w:t>
      </w:r>
    </w:p>
    <w:p w14:paraId="28A1DC4F" w14:textId="77777777" w:rsidR="00493BAA" w:rsidRDefault="00493BAA" w:rsidP="008301E1"/>
    <w:p w14:paraId="495E86DD" w14:textId="77777777" w:rsidR="0072311B" w:rsidRDefault="0072311B" w:rsidP="008301E1"/>
    <w:p w14:paraId="5CEE8002" w14:textId="77777777" w:rsidR="0072311B" w:rsidRDefault="0072311B" w:rsidP="008301E1"/>
    <w:p w14:paraId="0A4028AF" w14:textId="77777777" w:rsidR="0072311B" w:rsidRDefault="0072311B" w:rsidP="008301E1"/>
    <w:tbl>
      <w:tblPr>
        <w:tblpPr w:leftFromText="180" w:rightFromText="180" w:vertAnchor="text" w:horzAnchor="margin" w:tblpXSpec="right" w:tblpY="4995"/>
        <w:tblW w:w="4770" w:type="dxa"/>
        <w:tblCellMar>
          <w:left w:w="0" w:type="dxa"/>
          <w:right w:w="0" w:type="dxa"/>
        </w:tblCellMar>
        <w:tblLook w:val="04A0" w:firstRow="1" w:lastRow="0" w:firstColumn="1" w:lastColumn="0" w:noHBand="0" w:noVBand="1"/>
      </w:tblPr>
      <w:tblGrid>
        <w:gridCol w:w="3308"/>
        <w:gridCol w:w="1462"/>
      </w:tblGrid>
      <w:tr w:rsidR="009F17EB" w:rsidRPr="001716F3" w14:paraId="69627B47" w14:textId="77777777" w:rsidTr="009F17EB">
        <w:trPr>
          <w:trHeight w:val="288"/>
        </w:trPr>
        <w:tc>
          <w:tcPr>
            <w:tcW w:w="4770" w:type="dxa"/>
            <w:gridSpan w:val="2"/>
            <w:tcBorders>
              <w:top w:val="single" w:sz="8" w:space="0" w:color="ED7D31"/>
              <w:left w:val="nil"/>
              <w:bottom w:val="single" w:sz="8" w:space="0" w:color="ED7D31"/>
              <w:right w:val="nil"/>
            </w:tcBorders>
            <w:shd w:val="clear" w:color="auto" w:fill="auto"/>
            <w:tcMar>
              <w:top w:w="15" w:type="dxa"/>
              <w:left w:w="90" w:type="dxa"/>
              <w:bottom w:w="0" w:type="dxa"/>
              <w:right w:w="90" w:type="dxa"/>
            </w:tcMar>
            <w:vAlign w:val="center"/>
            <w:hideMark/>
          </w:tcPr>
          <w:p w14:paraId="46558AC9" w14:textId="77777777" w:rsidR="009F17EB" w:rsidRDefault="009F17EB" w:rsidP="009F17EB">
            <w:pPr>
              <w:spacing w:line="240" w:lineRule="auto"/>
              <w:ind w:right="426"/>
              <w:jc w:val="center"/>
              <w:rPr>
                <w:b/>
                <w:bCs/>
              </w:rPr>
            </w:pPr>
            <w:r>
              <w:rPr>
                <w:b/>
                <w:bCs/>
              </w:rPr>
              <w:t>Table 4:</w:t>
            </w:r>
          </w:p>
          <w:p w14:paraId="783376D3" w14:textId="5ABA2293" w:rsidR="009F17EB" w:rsidRPr="00801B0B" w:rsidRDefault="009F17EB" w:rsidP="009F17EB">
            <w:pPr>
              <w:spacing w:line="240" w:lineRule="auto"/>
              <w:ind w:right="426"/>
              <w:jc w:val="center"/>
              <w:rPr>
                <w:b/>
                <w:bCs/>
              </w:rPr>
            </w:pPr>
            <w:r>
              <w:rPr>
                <w:b/>
                <w:bCs/>
              </w:rPr>
              <w:t xml:space="preserve"> Relative risk of significant variables in the infighting model (India excluded)</w:t>
            </w:r>
          </w:p>
        </w:tc>
      </w:tr>
      <w:tr w:rsidR="009F17EB" w:rsidRPr="001716F3" w14:paraId="1A700368" w14:textId="77777777" w:rsidTr="009F17EB">
        <w:trPr>
          <w:trHeight w:val="343"/>
        </w:trPr>
        <w:tc>
          <w:tcPr>
            <w:tcW w:w="3308" w:type="dxa"/>
            <w:tcBorders>
              <w:top w:val="single" w:sz="8" w:space="0" w:color="ED7D31"/>
              <w:left w:val="nil"/>
              <w:bottom w:val="nil"/>
              <w:right w:val="nil"/>
            </w:tcBorders>
            <w:shd w:val="clear" w:color="auto" w:fill="FADECB"/>
            <w:tcMar>
              <w:top w:w="15" w:type="dxa"/>
              <w:left w:w="90" w:type="dxa"/>
              <w:bottom w:w="0" w:type="dxa"/>
              <w:right w:w="90" w:type="dxa"/>
            </w:tcMar>
            <w:vAlign w:val="center"/>
            <w:hideMark/>
          </w:tcPr>
          <w:p w14:paraId="0220521A" w14:textId="77777777" w:rsidR="009F17EB" w:rsidRPr="001716F3" w:rsidRDefault="009F17EB" w:rsidP="009F17EB">
            <w:pPr>
              <w:spacing w:line="240" w:lineRule="auto"/>
            </w:pPr>
            <w:r w:rsidRPr="001716F3">
              <w:rPr>
                <w:b/>
                <w:bCs/>
              </w:rPr>
              <w:t># of included groups</w:t>
            </w:r>
            <w:r>
              <w:rPr>
                <w:b/>
                <w:bCs/>
              </w:rPr>
              <w:t xml:space="preserve"> (+)</w:t>
            </w:r>
          </w:p>
        </w:tc>
        <w:tc>
          <w:tcPr>
            <w:tcW w:w="1462" w:type="dxa"/>
            <w:tcBorders>
              <w:top w:val="single" w:sz="8" w:space="0" w:color="ED7D31"/>
              <w:left w:val="nil"/>
              <w:bottom w:val="nil"/>
              <w:right w:val="nil"/>
            </w:tcBorders>
            <w:shd w:val="clear" w:color="auto" w:fill="FADECB"/>
            <w:tcMar>
              <w:top w:w="15" w:type="dxa"/>
              <w:left w:w="90" w:type="dxa"/>
              <w:bottom w:w="0" w:type="dxa"/>
              <w:right w:w="90" w:type="dxa"/>
            </w:tcMar>
            <w:vAlign w:val="center"/>
            <w:hideMark/>
          </w:tcPr>
          <w:p w14:paraId="2CFA53DD" w14:textId="77777777" w:rsidR="009F17EB" w:rsidRPr="001716F3" w:rsidRDefault="009F17EB" w:rsidP="009F17EB">
            <w:pPr>
              <w:spacing w:line="240" w:lineRule="auto"/>
            </w:pPr>
            <w:r>
              <w:t>50.9 (7.1)</w:t>
            </w:r>
          </w:p>
        </w:tc>
      </w:tr>
      <w:tr w:rsidR="009F17EB" w:rsidRPr="001716F3" w14:paraId="1433E8A3" w14:textId="77777777" w:rsidTr="009F17EB">
        <w:trPr>
          <w:trHeight w:val="343"/>
        </w:trPr>
        <w:tc>
          <w:tcPr>
            <w:tcW w:w="3308" w:type="dxa"/>
            <w:tcBorders>
              <w:top w:val="nil"/>
              <w:left w:val="nil"/>
              <w:bottom w:val="nil"/>
              <w:right w:val="nil"/>
            </w:tcBorders>
            <w:shd w:val="clear" w:color="auto" w:fill="auto"/>
            <w:tcMar>
              <w:top w:w="15" w:type="dxa"/>
              <w:left w:w="90" w:type="dxa"/>
              <w:bottom w:w="0" w:type="dxa"/>
              <w:right w:w="90" w:type="dxa"/>
            </w:tcMar>
            <w:vAlign w:val="center"/>
            <w:hideMark/>
          </w:tcPr>
          <w:p w14:paraId="563F6726" w14:textId="77777777" w:rsidR="009F17EB" w:rsidRPr="001716F3" w:rsidRDefault="009F17EB" w:rsidP="009F17EB">
            <w:pPr>
              <w:spacing w:line="240" w:lineRule="auto"/>
            </w:pPr>
            <w:r w:rsidRPr="001716F3">
              <w:rPr>
                <w:b/>
                <w:bCs/>
              </w:rPr>
              <w:t>GDP per capita, lagged</w:t>
            </w:r>
            <w:r>
              <w:rPr>
                <w:b/>
                <w:bCs/>
              </w:rPr>
              <w:t xml:space="preserve"> (-)</w:t>
            </w:r>
          </w:p>
        </w:tc>
        <w:tc>
          <w:tcPr>
            <w:tcW w:w="1462" w:type="dxa"/>
            <w:tcBorders>
              <w:top w:val="nil"/>
              <w:left w:val="nil"/>
              <w:bottom w:val="nil"/>
              <w:right w:val="nil"/>
            </w:tcBorders>
            <w:shd w:val="clear" w:color="auto" w:fill="auto"/>
            <w:tcMar>
              <w:top w:w="15" w:type="dxa"/>
              <w:left w:w="90" w:type="dxa"/>
              <w:bottom w:w="0" w:type="dxa"/>
              <w:right w:w="90" w:type="dxa"/>
            </w:tcMar>
            <w:vAlign w:val="center"/>
            <w:hideMark/>
          </w:tcPr>
          <w:p w14:paraId="596509C0" w14:textId="77777777" w:rsidR="009F17EB" w:rsidRPr="001716F3" w:rsidRDefault="009F17EB" w:rsidP="009F17EB">
            <w:pPr>
              <w:spacing w:line="240" w:lineRule="auto"/>
            </w:pPr>
            <w:r>
              <w:t>0.00 (12.0)</w:t>
            </w:r>
          </w:p>
        </w:tc>
      </w:tr>
      <w:tr w:rsidR="009F17EB" w:rsidRPr="001716F3" w14:paraId="7454957F" w14:textId="77777777" w:rsidTr="009F17EB">
        <w:trPr>
          <w:trHeight w:val="343"/>
        </w:trPr>
        <w:tc>
          <w:tcPr>
            <w:tcW w:w="3308" w:type="dxa"/>
            <w:tcBorders>
              <w:top w:val="nil"/>
              <w:left w:val="nil"/>
              <w:bottom w:val="nil"/>
              <w:right w:val="nil"/>
            </w:tcBorders>
            <w:shd w:val="clear" w:color="auto" w:fill="FADECB"/>
            <w:tcMar>
              <w:top w:w="15" w:type="dxa"/>
              <w:left w:w="90" w:type="dxa"/>
              <w:bottom w:w="0" w:type="dxa"/>
              <w:right w:w="90" w:type="dxa"/>
            </w:tcMar>
            <w:vAlign w:val="center"/>
            <w:hideMark/>
          </w:tcPr>
          <w:p w14:paraId="26707F8C" w14:textId="77777777" w:rsidR="009F17EB" w:rsidRPr="001716F3" w:rsidRDefault="009F17EB" w:rsidP="009F17EB">
            <w:pPr>
              <w:spacing w:line="240" w:lineRule="auto"/>
            </w:pPr>
            <w:r w:rsidRPr="001716F3">
              <w:rPr>
                <w:b/>
                <w:bCs/>
              </w:rPr>
              <w:t>Size of pop., lagged</w:t>
            </w:r>
            <w:r>
              <w:rPr>
                <w:b/>
                <w:bCs/>
              </w:rPr>
              <w:t xml:space="preserve"> (-)</w:t>
            </w:r>
          </w:p>
        </w:tc>
        <w:tc>
          <w:tcPr>
            <w:tcW w:w="1462" w:type="dxa"/>
            <w:tcBorders>
              <w:top w:val="nil"/>
              <w:left w:val="nil"/>
              <w:bottom w:val="nil"/>
              <w:right w:val="nil"/>
            </w:tcBorders>
            <w:shd w:val="clear" w:color="auto" w:fill="FADECB"/>
            <w:tcMar>
              <w:top w:w="15" w:type="dxa"/>
              <w:left w:w="90" w:type="dxa"/>
              <w:bottom w:w="0" w:type="dxa"/>
              <w:right w:w="90" w:type="dxa"/>
            </w:tcMar>
            <w:vAlign w:val="center"/>
            <w:hideMark/>
          </w:tcPr>
          <w:p w14:paraId="44D9D887" w14:textId="77777777" w:rsidR="009F17EB" w:rsidRPr="001716F3" w:rsidRDefault="009F17EB" w:rsidP="009F17EB">
            <w:pPr>
              <w:spacing w:line="240" w:lineRule="auto"/>
            </w:pPr>
            <w:r>
              <w:t>0.03 (0.02)</w:t>
            </w:r>
          </w:p>
        </w:tc>
      </w:tr>
      <w:tr w:rsidR="009F17EB" w:rsidRPr="001716F3" w14:paraId="5B757347" w14:textId="77777777" w:rsidTr="009F17EB">
        <w:trPr>
          <w:trHeight w:val="288"/>
        </w:trPr>
        <w:tc>
          <w:tcPr>
            <w:tcW w:w="3308" w:type="dxa"/>
            <w:tcBorders>
              <w:top w:val="nil"/>
              <w:left w:val="nil"/>
              <w:bottom w:val="nil"/>
              <w:right w:val="nil"/>
            </w:tcBorders>
            <w:shd w:val="clear" w:color="auto" w:fill="auto"/>
            <w:tcMar>
              <w:top w:w="15" w:type="dxa"/>
              <w:left w:w="90" w:type="dxa"/>
              <w:bottom w:w="0" w:type="dxa"/>
              <w:right w:w="90" w:type="dxa"/>
            </w:tcMar>
            <w:vAlign w:val="center"/>
            <w:hideMark/>
          </w:tcPr>
          <w:p w14:paraId="6BF81CE6" w14:textId="77777777" w:rsidR="009F17EB" w:rsidRPr="001716F3" w:rsidRDefault="009F17EB" w:rsidP="009F17EB">
            <w:pPr>
              <w:spacing w:line="240" w:lineRule="auto"/>
            </w:pPr>
            <w:r w:rsidRPr="001716F3">
              <w:rPr>
                <w:b/>
                <w:bCs/>
              </w:rPr>
              <w:t>Mountainous terrain</w:t>
            </w:r>
            <w:r>
              <w:rPr>
                <w:b/>
                <w:bCs/>
              </w:rPr>
              <w:t xml:space="preserve"> (+)</w:t>
            </w:r>
          </w:p>
        </w:tc>
        <w:tc>
          <w:tcPr>
            <w:tcW w:w="1462" w:type="dxa"/>
            <w:tcBorders>
              <w:top w:val="nil"/>
              <w:left w:val="nil"/>
              <w:bottom w:val="nil"/>
              <w:right w:val="nil"/>
            </w:tcBorders>
            <w:shd w:val="clear" w:color="auto" w:fill="auto"/>
            <w:tcMar>
              <w:top w:w="15" w:type="dxa"/>
              <w:left w:w="90" w:type="dxa"/>
              <w:bottom w:w="0" w:type="dxa"/>
              <w:right w:w="90" w:type="dxa"/>
            </w:tcMar>
            <w:vAlign w:val="center"/>
            <w:hideMark/>
          </w:tcPr>
          <w:p w14:paraId="287995D2" w14:textId="77777777" w:rsidR="009F17EB" w:rsidRPr="001716F3" w:rsidRDefault="009F17EB" w:rsidP="009F17EB">
            <w:pPr>
              <w:spacing w:line="240" w:lineRule="auto"/>
            </w:pPr>
            <w:r w:rsidRPr="001716F3">
              <w:t>6.5</w:t>
            </w:r>
            <w:r>
              <w:t xml:space="preserve"> (6.6)</w:t>
            </w:r>
          </w:p>
        </w:tc>
      </w:tr>
      <w:tr w:rsidR="009F17EB" w:rsidRPr="001716F3" w14:paraId="5835E3A6" w14:textId="77777777" w:rsidTr="009F17EB">
        <w:trPr>
          <w:trHeight w:val="343"/>
        </w:trPr>
        <w:tc>
          <w:tcPr>
            <w:tcW w:w="3308" w:type="dxa"/>
            <w:tcBorders>
              <w:top w:val="nil"/>
              <w:left w:val="nil"/>
              <w:bottom w:val="single" w:sz="8" w:space="0" w:color="ED7D31"/>
              <w:right w:val="nil"/>
            </w:tcBorders>
            <w:shd w:val="clear" w:color="auto" w:fill="FADECB"/>
            <w:tcMar>
              <w:top w:w="15" w:type="dxa"/>
              <w:left w:w="90" w:type="dxa"/>
              <w:bottom w:w="0" w:type="dxa"/>
              <w:right w:w="90" w:type="dxa"/>
            </w:tcMar>
            <w:vAlign w:val="center"/>
            <w:hideMark/>
          </w:tcPr>
          <w:p w14:paraId="43D44A67" w14:textId="77777777" w:rsidR="009F17EB" w:rsidRPr="001716F3" w:rsidRDefault="009F17EB" w:rsidP="009F17EB">
            <w:pPr>
              <w:spacing w:line="240" w:lineRule="auto"/>
            </w:pPr>
            <w:r w:rsidRPr="001716F3">
              <w:rPr>
                <w:b/>
                <w:bCs/>
              </w:rPr>
              <w:t>% yrs of a colonial past</w:t>
            </w:r>
            <w:r>
              <w:rPr>
                <w:b/>
                <w:bCs/>
              </w:rPr>
              <w:t xml:space="preserve"> (+)</w:t>
            </w:r>
          </w:p>
        </w:tc>
        <w:tc>
          <w:tcPr>
            <w:tcW w:w="1462" w:type="dxa"/>
            <w:tcBorders>
              <w:top w:val="nil"/>
              <w:left w:val="nil"/>
              <w:bottom w:val="single" w:sz="8" w:space="0" w:color="ED7D31"/>
              <w:right w:val="nil"/>
            </w:tcBorders>
            <w:shd w:val="clear" w:color="auto" w:fill="FADECB"/>
            <w:tcMar>
              <w:top w:w="15" w:type="dxa"/>
              <w:left w:w="90" w:type="dxa"/>
              <w:bottom w:w="0" w:type="dxa"/>
              <w:right w:w="90" w:type="dxa"/>
            </w:tcMar>
            <w:vAlign w:val="center"/>
            <w:hideMark/>
          </w:tcPr>
          <w:p w14:paraId="42372291" w14:textId="77777777" w:rsidR="009F17EB" w:rsidRPr="001716F3" w:rsidRDefault="009F17EB" w:rsidP="009F17EB">
            <w:pPr>
              <w:spacing w:line="240" w:lineRule="auto"/>
            </w:pPr>
            <w:r w:rsidRPr="001716F3">
              <w:t>13.07</w:t>
            </w:r>
            <w:r>
              <w:t xml:space="preserve"> (17.2)</w:t>
            </w:r>
          </w:p>
        </w:tc>
      </w:tr>
    </w:tbl>
    <w:tbl>
      <w:tblPr>
        <w:tblpPr w:leftFromText="180" w:rightFromText="180" w:vertAnchor="text" w:horzAnchor="margin" w:tblpY="4991"/>
        <w:tblW w:w="4230" w:type="dxa"/>
        <w:tblLayout w:type="fixed"/>
        <w:tblCellMar>
          <w:left w:w="0" w:type="dxa"/>
          <w:right w:w="0" w:type="dxa"/>
        </w:tblCellMar>
        <w:tblLook w:val="06A0" w:firstRow="1" w:lastRow="0" w:firstColumn="1" w:lastColumn="0" w:noHBand="1" w:noVBand="1"/>
      </w:tblPr>
      <w:tblGrid>
        <w:gridCol w:w="3510"/>
        <w:gridCol w:w="720"/>
      </w:tblGrid>
      <w:tr w:rsidR="009F17EB" w:rsidRPr="001716F3" w14:paraId="7F3A7C9E" w14:textId="77777777" w:rsidTr="009F17EB">
        <w:trPr>
          <w:trHeight w:val="360"/>
        </w:trPr>
        <w:tc>
          <w:tcPr>
            <w:tcW w:w="4230" w:type="dxa"/>
            <w:gridSpan w:val="2"/>
            <w:tcBorders>
              <w:top w:val="single" w:sz="8" w:space="0" w:color="ED7D31"/>
              <w:left w:val="nil"/>
              <w:bottom w:val="single" w:sz="8" w:space="0" w:color="ED7D31"/>
              <w:right w:val="nil"/>
            </w:tcBorders>
            <w:shd w:val="clear" w:color="auto" w:fill="auto"/>
            <w:tcMar>
              <w:top w:w="15" w:type="dxa"/>
              <w:left w:w="90" w:type="dxa"/>
              <w:bottom w:w="0" w:type="dxa"/>
              <w:right w:w="90" w:type="dxa"/>
            </w:tcMar>
            <w:vAlign w:val="center"/>
            <w:hideMark/>
          </w:tcPr>
          <w:p w14:paraId="70DF6F5A" w14:textId="77777777" w:rsidR="009F17EB" w:rsidRDefault="009F17EB" w:rsidP="009F17EB">
            <w:pPr>
              <w:spacing w:line="240" w:lineRule="auto"/>
              <w:jc w:val="center"/>
              <w:rPr>
                <w:b/>
                <w:bCs/>
              </w:rPr>
            </w:pPr>
            <w:r>
              <w:rPr>
                <w:b/>
                <w:bCs/>
              </w:rPr>
              <w:t xml:space="preserve">Table 3: </w:t>
            </w:r>
          </w:p>
          <w:p w14:paraId="6BA39FE8" w14:textId="46BFC781" w:rsidR="009F17EB" w:rsidRPr="001716F3" w:rsidRDefault="009F17EB" w:rsidP="009F17EB">
            <w:pPr>
              <w:spacing w:line="240" w:lineRule="auto"/>
              <w:jc w:val="center"/>
            </w:pPr>
            <w:r>
              <w:rPr>
                <w:b/>
                <w:bCs/>
              </w:rPr>
              <w:t>Relative risk of significant variables in the rebellion model</w:t>
            </w:r>
          </w:p>
        </w:tc>
      </w:tr>
      <w:tr w:rsidR="009F17EB" w:rsidRPr="001716F3" w14:paraId="05B50747" w14:textId="77777777" w:rsidTr="009F17EB">
        <w:trPr>
          <w:trHeight w:val="520"/>
        </w:trPr>
        <w:tc>
          <w:tcPr>
            <w:tcW w:w="3510" w:type="dxa"/>
            <w:tcBorders>
              <w:top w:val="single" w:sz="8" w:space="0" w:color="ED7D31"/>
              <w:left w:val="nil"/>
              <w:bottom w:val="nil"/>
              <w:right w:val="nil"/>
            </w:tcBorders>
            <w:shd w:val="clear" w:color="auto" w:fill="FADECB"/>
            <w:tcMar>
              <w:top w:w="15" w:type="dxa"/>
              <w:left w:w="90" w:type="dxa"/>
              <w:bottom w:w="0" w:type="dxa"/>
              <w:right w:w="90" w:type="dxa"/>
            </w:tcMar>
            <w:vAlign w:val="center"/>
            <w:hideMark/>
          </w:tcPr>
          <w:p w14:paraId="01CBA4A0" w14:textId="77777777" w:rsidR="009F17EB" w:rsidRPr="001716F3" w:rsidRDefault="009F17EB" w:rsidP="009F17EB">
            <w:pPr>
              <w:spacing w:line="240" w:lineRule="auto"/>
            </w:pPr>
            <w:r w:rsidRPr="001716F3">
              <w:rPr>
                <w:b/>
                <w:bCs/>
              </w:rPr>
              <w:t>Size of excluded pop.</w:t>
            </w:r>
            <w:r>
              <w:rPr>
                <w:b/>
                <w:bCs/>
              </w:rPr>
              <w:t xml:space="preserve"> (+)</w:t>
            </w:r>
          </w:p>
        </w:tc>
        <w:tc>
          <w:tcPr>
            <w:tcW w:w="720" w:type="dxa"/>
            <w:tcBorders>
              <w:top w:val="single" w:sz="8" w:space="0" w:color="ED7D31"/>
              <w:left w:val="nil"/>
              <w:bottom w:val="nil"/>
              <w:right w:val="nil"/>
            </w:tcBorders>
            <w:shd w:val="clear" w:color="auto" w:fill="FADECB"/>
            <w:tcMar>
              <w:top w:w="15" w:type="dxa"/>
              <w:left w:w="90" w:type="dxa"/>
              <w:bottom w:w="0" w:type="dxa"/>
              <w:right w:w="90" w:type="dxa"/>
            </w:tcMar>
            <w:vAlign w:val="center"/>
            <w:hideMark/>
          </w:tcPr>
          <w:p w14:paraId="7C773EE6" w14:textId="77777777" w:rsidR="009F17EB" w:rsidRPr="001716F3" w:rsidRDefault="009F17EB" w:rsidP="009F17EB">
            <w:pPr>
              <w:spacing w:line="240" w:lineRule="auto"/>
            </w:pPr>
            <w:r>
              <w:t>16.1</w:t>
            </w:r>
          </w:p>
        </w:tc>
      </w:tr>
      <w:tr w:rsidR="009F17EB" w:rsidRPr="001716F3" w14:paraId="676EF076" w14:textId="77777777" w:rsidTr="009F17EB">
        <w:trPr>
          <w:trHeight w:val="520"/>
        </w:trPr>
        <w:tc>
          <w:tcPr>
            <w:tcW w:w="3510" w:type="dxa"/>
            <w:tcBorders>
              <w:top w:val="nil"/>
              <w:left w:val="nil"/>
              <w:bottom w:val="nil"/>
              <w:right w:val="nil"/>
            </w:tcBorders>
            <w:shd w:val="clear" w:color="auto" w:fill="auto"/>
            <w:tcMar>
              <w:top w:w="15" w:type="dxa"/>
              <w:left w:w="90" w:type="dxa"/>
              <w:bottom w:w="0" w:type="dxa"/>
              <w:right w:w="90" w:type="dxa"/>
            </w:tcMar>
            <w:vAlign w:val="center"/>
            <w:hideMark/>
          </w:tcPr>
          <w:p w14:paraId="0CE4F3CE" w14:textId="77777777" w:rsidR="009F17EB" w:rsidRPr="001716F3" w:rsidRDefault="009F17EB" w:rsidP="009F17EB">
            <w:pPr>
              <w:spacing w:line="240" w:lineRule="auto"/>
            </w:pPr>
            <w:r w:rsidRPr="001716F3">
              <w:rPr>
                <w:b/>
                <w:bCs/>
              </w:rPr>
              <w:t>GDP per capita, lagged</w:t>
            </w:r>
            <w:r>
              <w:rPr>
                <w:b/>
                <w:bCs/>
              </w:rPr>
              <w:t xml:space="preserve"> (-)</w:t>
            </w:r>
          </w:p>
        </w:tc>
        <w:tc>
          <w:tcPr>
            <w:tcW w:w="720" w:type="dxa"/>
            <w:tcBorders>
              <w:top w:val="nil"/>
              <w:left w:val="nil"/>
              <w:bottom w:val="nil"/>
              <w:right w:val="nil"/>
            </w:tcBorders>
            <w:shd w:val="clear" w:color="auto" w:fill="auto"/>
            <w:tcMar>
              <w:top w:w="15" w:type="dxa"/>
              <w:left w:w="90" w:type="dxa"/>
              <w:bottom w:w="0" w:type="dxa"/>
              <w:right w:w="90" w:type="dxa"/>
            </w:tcMar>
            <w:vAlign w:val="center"/>
            <w:hideMark/>
          </w:tcPr>
          <w:p w14:paraId="4669E47A" w14:textId="77777777" w:rsidR="009F17EB" w:rsidRPr="001716F3" w:rsidRDefault="009F17EB" w:rsidP="009F17EB">
            <w:pPr>
              <w:spacing w:line="240" w:lineRule="auto"/>
            </w:pPr>
            <w:r w:rsidRPr="001716F3">
              <w:t>0.02</w:t>
            </w:r>
          </w:p>
        </w:tc>
      </w:tr>
      <w:tr w:rsidR="009F17EB" w:rsidRPr="001716F3" w14:paraId="60CB42FD" w14:textId="77777777" w:rsidTr="009F17EB">
        <w:trPr>
          <w:trHeight w:val="520"/>
        </w:trPr>
        <w:tc>
          <w:tcPr>
            <w:tcW w:w="3510" w:type="dxa"/>
            <w:tcBorders>
              <w:top w:val="nil"/>
              <w:left w:val="nil"/>
              <w:bottom w:val="nil"/>
              <w:right w:val="nil"/>
            </w:tcBorders>
            <w:shd w:val="clear" w:color="auto" w:fill="FADECB"/>
            <w:tcMar>
              <w:top w:w="15" w:type="dxa"/>
              <w:left w:w="90" w:type="dxa"/>
              <w:bottom w:w="0" w:type="dxa"/>
              <w:right w:w="90" w:type="dxa"/>
            </w:tcMar>
            <w:vAlign w:val="center"/>
            <w:hideMark/>
          </w:tcPr>
          <w:p w14:paraId="260BDE66" w14:textId="77777777" w:rsidR="009F17EB" w:rsidRPr="001716F3" w:rsidRDefault="009F17EB" w:rsidP="009F17EB">
            <w:pPr>
              <w:spacing w:line="240" w:lineRule="auto"/>
            </w:pPr>
            <w:r w:rsidRPr="001716F3">
              <w:rPr>
                <w:b/>
                <w:bCs/>
              </w:rPr>
              <w:t>Size of pop., lagged</w:t>
            </w:r>
            <w:r>
              <w:rPr>
                <w:b/>
                <w:bCs/>
              </w:rPr>
              <w:t xml:space="preserve"> (+)</w:t>
            </w:r>
          </w:p>
        </w:tc>
        <w:tc>
          <w:tcPr>
            <w:tcW w:w="720" w:type="dxa"/>
            <w:tcBorders>
              <w:top w:val="nil"/>
              <w:left w:val="nil"/>
              <w:bottom w:val="nil"/>
              <w:right w:val="nil"/>
            </w:tcBorders>
            <w:shd w:val="clear" w:color="auto" w:fill="FADECB"/>
            <w:tcMar>
              <w:top w:w="15" w:type="dxa"/>
              <w:left w:w="90" w:type="dxa"/>
              <w:bottom w:w="0" w:type="dxa"/>
              <w:right w:w="90" w:type="dxa"/>
            </w:tcMar>
            <w:vAlign w:val="center"/>
            <w:hideMark/>
          </w:tcPr>
          <w:p w14:paraId="305FA860" w14:textId="77777777" w:rsidR="009F17EB" w:rsidRPr="001716F3" w:rsidRDefault="009F17EB" w:rsidP="009F17EB">
            <w:pPr>
              <w:spacing w:line="240" w:lineRule="auto"/>
            </w:pPr>
            <w:r w:rsidRPr="001716F3">
              <w:t>13.96</w:t>
            </w:r>
          </w:p>
        </w:tc>
      </w:tr>
      <w:tr w:rsidR="009F17EB" w:rsidRPr="001716F3" w14:paraId="72CE56A8" w14:textId="77777777" w:rsidTr="009F17EB">
        <w:trPr>
          <w:trHeight w:val="678"/>
        </w:trPr>
        <w:tc>
          <w:tcPr>
            <w:tcW w:w="3510" w:type="dxa"/>
            <w:tcBorders>
              <w:top w:val="nil"/>
              <w:left w:val="nil"/>
              <w:bottom w:val="single" w:sz="8" w:space="0" w:color="ED7D31"/>
              <w:right w:val="nil"/>
            </w:tcBorders>
            <w:shd w:val="clear" w:color="auto" w:fill="auto"/>
            <w:tcMar>
              <w:top w:w="15" w:type="dxa"/>
              <w:left w:w="90" w:type="dxa"/>
              <w:bottom w:w="0" w:type="dxa"/>
              <w:right w:w="90" w:type="dxa"/>
            </w:tcMar>
            <w:vAlign w:val="center"/>
            <w:hideMark/>
          </w:tcPr>
          <w:p w14:paraId="70D5D520" w14:textId="77777777" w:rsidR="009F17EB" w:rsidRPr="001716F3" w:rsidRDefault="009F17EB" w:rsidP="009F17EB">
            <w:pPr>
              <w:spacing w:line="240" w:lineRule="auto"/>
            </w:pPr>
            <w:r w:rsidRPr="001716F3">
              <w:rPr>
                <w:b/>
                <w:bCs/>
              </w:rPr>
              <w:t>Linguistic fractionalization</w:t>
            </w:r>
            <w:r>
              <w:rPr>
                <w:b/>
                <w:bCs/>
              </w:rPr>
              <w:t xml:space="preserve"> (+)</w:t>
            </w:r>
          </w:p>
        </w:tc>
        <w:tc>
          <w:tcPr>
            <w:tcW w:w="720" w:type="dxa"/>
            <w:tcBorders>
              <w:top w:val="nil"/>
              <w:left w:val="nil"/>
              <w:bottom w:val="single" w:sz="8" w:space="0" w:color="ED7D31"/>
              <w:right w:val="nil"/>
            </w:tcBorders>
            <w:shd w:val="clear" w:color="auto" w:fill="auto"/>
            <w:tcMar>
              <w:top w:w="15" w:type="dxa"/>
              <w:left w:w="90" w:type="dxa"/>
              <w:bottom w:w="0" w:type="dxa"/>
              <w:right w:w="90" w:type="dxa"/>
            </w:tcMar>
            <w:vAlign w:val="center"/>
            <w:hideMark/>
          </w:tcPr>
          <w:p w14:paraId="565E1812" w14:textId="77777777" w:rsidR="009F17EB" w:rsidRPr="001716F3" w:rsidRDefault="009F17EB" w:rsidP="009F17EB">
            <w:pPr>
              <w:spacing w:line="240" w:lineRule="auto"/>
            </w:pPr>
            <w:r w:rsidRPr="001716F3">
              <w:t>0.01</w:t>
            </w:r>
          </w:p>
        </w:tc>
      </w:tr>
    </w:tbl>
    <w:p w14:paraId="6098DE93" w14:textId="70660A51" w:rsidR="0072311B" w:rsidRDefault="0072311B" w:rsidP="001C1E20">
      <w:pPr>
        <w:ind w:right="540" w:firstLine="720"/>
        <w:sectPr w:rsidR="0072311B" w:rsidSect="001C1E20">
          <w:headerReference w:type="default" r:id="rId9"/>
          <w:footerReference w:type="default" r:id="rId10"/>
          <w:pgSz w:w="12240" w:h="15840"/>
          <w:pgMar w:top="1440" w:right="1440" w:bottom="1440" w:left="1440" w:header="720" w:footer="720" w:gutter="0"/>
          <w:cols w:space="720"/>
          <w:docGrid w:linePitch="360"/>
        </w:sectPr>
      </w:pPr>
      <w:r>
        <w:t>Additionally, the primary independent variables in each model remain highly significant across multiple specifications of both models, and in the case of rebellion, the excluded population is the single strongest predictor of conflict (see Tables 3 and 4). In the case of infighting, however, while the number of included groups remains significant and influential in multiple models, removing outlying cases in the number of groups variable significantly reduces the relative strength of the variable (see Table 4).</w:t>
      </w:r>
      <w:r>
        <w:rPr>
          <w:rStyle w:val="FootnoteReference"/>
        </w:rPr>
        <w:footnoteReference w:id="16"/>
      </w:r>
      <w:r>
        <w:t xml:space="preserve"> A further discussion of the relative influence of significant variables will follow the discussion of significance below.</w:t>
      </w:r>
    </w:p>
    <w:p w14:paraId="2C21E50B" w14:textId="294B8C53" w:rsidR="00265E35" w:rsidRDefault="00265E35" w:rsidP="001C1E20"/>
    <w:p w14:paraId="2B5C969D" w14:textId="15A6B260" w:rsidR="00F3153D" w:rsidRDefault="00265E35" w:rsidP="00265E35">
      <w:pPr>
        <w:ind w:firstLine="720"/>
      </w:pPr>
      <w:r>
        <w:t>That imperial past becomes both significant and a strong predictor of conflict (see Table 4) in the infighting model suggests something of the dynamics of competitive power sharing.</w:t>
      </w:r>
      <w:r>
        <w:rPr>
          <w:rStyle w:val="FootnoteReference"/>
        </w:rPr>
        <w:footnoteReference w:id="17"/>
      </w:r>
      <w:r>
        <w:t xml:space="preserve"> The literature on how colonialism has shaped national politics in former imperial territories is extensive, and a number of researchers have linked an imperial past to an increased likelihood of experiencing political violence such as coups and civil war. That it is significant in the infighting model suggests that in such cases the relationships between power sharing groups are</w:t>
      </w:r>
      <w:r w:rsidR="00781BE8">
        <w:t xml:space="preserve"> </w:t>
      </w:r>
      <w:r>
        <w:t>particularly important predictors of conflict. A lack of shared democratic norms coupled with a fragmented polity promotes illiberal strategies for gaining relative political advantages. Additionally, when India is dropped from the model</w:t>
      </w:r>
      <w:r w:rsidR="001C1E20">
        <w:t xml:space="preserve"> (see Table 4)</w:t>
      </w:r>
      <w:r>
        <w:t>, imperial past becomes the single most influential variable in the model, while the number of power sharing groups drops significantly in its relative impact on the likelihood of conflict (see Figures 1 and 2).</w:t>
      </w:r>
      <w:r>
        <w:rPr>
          <w:rStyle w:val="FootnoteReference"/>
        </w:rPr>
        <w:footnoteReference w:id="18"/>
      </w:r>
    </w:p>
    <w:p w14:paraId="1A0AC0AE" w14:textId="4A65BE04" w:rsidR="00AF725B" w:rsidRDefault="001C1E20" w:rsidP="00651797">
      <w:pPr>
        <w:ind w:firstLine="720"/>
      </w:pPr>
      <w:r>
        <w:t xml:space="preserve">As well, </w:t>
      </w:r>
      <w:r w:rsidR="00265E35">
        <w:t>GDP per capita</w:t>
      </w:r>
      <w:r>
        <w:t xml:space="preserve"> </w:t>
      </w:r>
      <w:r w:rsidR="00265E35">
        <w:t xml:space="preserve">becomes </w:t>
      </w:r>
      <w:r>
        <w:t xml:space="preserve">has a much greater negative effect on conflict </w:t>
      </w:r>
      <w:r w:rsidR="00F1147A">
        <w:t xml:space="preserve">when India is dropped, </w:t>
      </w:r>
      <w:r w:rsidR="00265E35">
        <w:t>suggesting further suppor</w:t>
      </w:r>
      <w:r w:rsidR="00ED2B1C">
        <w:t xml:space="preserve">t for the hypothesis that incentives to take up arms are reduced when leaders are governing a state with strong economic assets. </w:t>
      </w:r>
      <w:r w:rsidR="00F1147A">
        <w:t>The negative impact of coups on a country’s GDP is well documented, though it is perhaps more likely the case that well-functioning economies suggest a propensity for better government</w:t>
      </w:r>
      <w:r w:rsidR="00FA5F2D">
        <w:t>, as the democratization literature suggests.</w:t>
      </w:r>
      <w:r w:rsidR="00F1147A">
        <w:t xml:space="preserve"> </w:t>
      </w:r>
      <w:r w:rsidR="00ED2B1C">
        <w:t>In such cases, it may be that economic interests supersede the desire to consolidate power</w:t>
      </w:r>
      <w:r w:rsidR="00AF725B">
        <w:t>.</w:t>
      </w:r>
      <w:r w:rsidR="00ED2B1C">
        <w:t xml:space="preserve"> </w:t>
      </w:r>
      <w:r w:rsidR="00265E35">
        <w:t>That is, poorer countries which had long</w:t>
      </w:r>
      <w:r w:rsidR="001713EC">
        <w:t xml:space="preserve"> been under colonial rule are also </w:t>
      </w:r>
      <w:r w:rsidR="001713EC">
        <w:lastRenderedPageBreak/>
        <w:t xml:space="preserve">less likely to have a long history of effective democratic self-governance, </w:t>
      </w:r>
      <w:r w:rsidR="00265E35">
        <w:t>whereas richer countries are more likely</w:t>
      </w:r>
      <w:r w:rsidR="00651797">
        <w:t xml:space="preserve"> to have established effective governmental regulation over the private sector.</w:t>
      </w:r>
    </w:p>
    <w:p w14:paraId="298E9D2B" w14:textId="26207F2F" w:rsidR="00AF725B" w:rsidRDefault="00C27549" w:rsidP="006076EB">
      <w:pPr>
        <w:ind w:firstLine="720"/>
      </w:pPr>
      <w:r>
        <w:t xml:space="preserve">Figures 1 and 2 reveal the influence India has on the overall findings. Omitting it from the infighting model significantly reduces the relative influence </w:t>
      </w:r>
      <w:r w:rsidR="001C1E20">
        <w:t>of the</w:t>
      </w:r>
      <w:r>
        <w:t xml:space="preserve"> number of groups on the predicted onset of conflict. However, since the Indian polity is highly fragmented, displaying no less than 13 groups for e</w:t>
      </w:r>
      <w:r w:rsidR="00622F49">
        <w:t>ach observation, it does provide information congruent with the theoretical and observed relationship between the number of groups competing for power and the likelihood of conflict. That is, as the number of groups competing for power increase</w:t>
      </w:r>
      <w:r w:rsidR="002E5EA4">
        <w:t>s</w:t>
      </w:r>
      <w:r w:rsidR="00622F49">
        <w:t>, the probability of c</w:t>
      </w:r>
      <w:r w:rsidR="0053309F">
        <w:t>onflict increases exponentially.</w:t>
      </w:r>
      <w:r w:rsidR="006076EB">
        <w:t xml:space="preserve"> </w:t>
      </w:r>
      <w:r w:rsidR="00AB559A">
        <w:t xml:space="preserve">In contrast, the increase in the likelihood of conflict moving from the minimum to maximum values of the excluded population variable </w:t>
      </w:r>
      <w:r w:rsidR="006076EB">
        <w:t xml:space="preserve">(see Figure 3) </w:t>
      </w:r>
      <w:r w:rsidR="00C87FEE">
        <w:t xml:space="preserve">provides nearly identical results </w:t>
      </w:r>
      <w:r w:rsidR="00AB559A">
        <w:t>when accounting for outlying cases.</w:t>
      </w:r>
      <w:r w:rsidR="00AB559A">
        <w:rPr>
          <w:rStyle w:val="FootnoteReference"/>
        </w:rPr>
        <w:footnoteReference w:id="19"/>
      </w:r>
      <w:r w:rsidR="006076EB">
        <w:t xml:space="preserve"> </w:t>
      </w:r>
    </w:p>
    <w:p w14:paraId="5F3038CF" w14:textId="77777777" w:rsidR="006076EB" w:rsidRDefault="006076EB" w:rsidP="006076EB">
      <w:r>
        <w:rPr>
          <w:noProof/>
        </w:rPr>
        <mc:AlternateContent>
          <mc:Choice Requires="wps">
            <w:drawing>
              <wp:anchor distT="0" distB="0" distL="114300" distR="114300" simplePos="0" relativeHeight="251661312" behindDoc="0" locked="0" layoutInCell="1" allowOverlap="1" wp14:anchorId="1CFBB721" wp14:editId="7FAD3A16">
                <wp:simplePos x="0" y="0"/>
                <wp:positionH relativeFrom="column">
                  <wp:posOffset>5080</wp:posOffset>
                </wp:positionH>
                <wp:positionV relativeFrom="paragraph">
                  <wp:posOffset>247650</wp:posOffset>
                </wp:positionV>
                <wp:extent cx="5762625" cy="6572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57225"/>
                        </a:xfrm>
                        <a:prstGeom prst="rect">
                          <a:avLst/>
                        </a:prstGeom>
                        <a:noFill/>
                        <a:ln w="9525">
                          <a:noFill/>
                          <a:miter lim="800000"/>
                          <a:headEnd/>
                          <a:tailEnd/>
                        </a:ln>
                      </wps:spPr>
                      <wps:txbx>
                        <w:txbxContent>
                          <w:p w14:paraId="1D4CE20E" w14:textId="77777777" w:rsidR="00421207" w:rsidRDefault="00421207" w:rsidP="006076EB">
                            <w:r w:rsidRPr="00F61E2F">
                              <w:rPr>
                                <w:b/>
                              </w:rPr>
                              <w:t>Figure 1</w:t>
                            </w:r>
                            <w:r>
                              <w:t>: Incremental increase in the relative risk</w:t>
                            </w:r>
                            <w:r>
                              <w:rPr>
                                <w:rStyle w:val="FootnoteReference"/>
                              </w:rPr>
                              <w:footnoteRef/>
                            </w:r>
                            <w:r>
                              <w:t xml:space="preserve"> of onset of conflict by included groups given the number of groups included in the polity, all other variables held at their means. </w:t>
                            </w:r>
                            <w:r w:rsidRPr="002D6172">
                              <w:rPr>
                                <w:i/>
                              </w:rPr>
                              <w:t>India included</w:t>
                            </w:r>
                            <w:r>
                              <w:t xml:space="preserve">. </w:t>
                            </w:r>
                          </w:p>
                          <w:p w14:paraId="2988FB18" w14:textId="77777777" w:rsidR="00421207" w:rsidRDefault="00421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19.5pt;width:453.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" filled="f" stroked="f">
                <v:textbox>
                  <w:txbxContent>
                    <w:p w14:paraId="1D4CE20E" w14:textId="77777777" w:rsidR="00421207" w:rsidRDefault="00421207" w:rsidP="006076EB">
                      <w:r w:rsidRPr="00F61E2F">
                        <w:rPr>
                          <w:b/>
                        </w:rPr>
                        <w:t>Figure 1</w:t>
                      </w:r>
                      <w:r>
                        <w:t>: Incremental increase in the relative risk</w:t>
                      </w:r>
                      <w:r>
                        <w:rPr>
                          <w:rStyle w:val="FootnoteReference"/>
                        </w:rPr>
                        <w:footnoteRef/>
                      </w:r>
                      <w:r>
                        <w:t xml:space="preserve"> of onset of conflict by included groups given the number of groups included in the polity, all other variables held at their means. </w:t>
                      </w:r>
                      <w:r w:rsidRPr="002D6172">
                        <w:rPr>
                          <w:i/>
                        </w:rPr>
                        <w:t>India included</w:t>
                      </w:r>
                      <w:r>
                        <w:t xml:space="preserve">. </w:t>
                      </w:r>
                    </w:p>
                    <w:p w14:paraId="2988FB18" w14:textId="77777777" w:rsidR="00421207" w:rsidRDefault="00421207"/>
                  </w:txbxContent>
                </v:textbox>
              </v:shape>
            </w:pict>
          </mc:Fallback>
        </mc:AlternateContent>
      </w:r>
    </w:p>
    <w:p w14:paraId="58005442" w14:textId="77777777" w:rsidR="006076EB" w:rsidRDefault="006076EB" w:rsidP="006076EB"/>
    <w:p w14:paraId="1FAD59DF" w14:textId="77777777" w:rsidR="00A5499A" w:rsidRDefault="00B96AFE" w:rsidP="008301E1">
      <w:r w:rsidRPr="00736A00">
        <w:rPr>
          <w:noProof/>
        </w:rPr>
        <w:lastRenderedPageBreak/>
        <w:drawing>
          <wp:inline distT="0" distB="0" distL="0" distR="0" wp14:anchorId="339A5AAD" wp14:editId="43955BEA">
            <wp:extent cx="5771408" cy="2683823"/>
            <wp:effectExtent l="0" t="0" r="20320"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5D7715" w14:textId="77777777" w:rsidR="00B96AFE" w:rsidRDefault="002D6172" w:rsidP="008301E1">
      <w:r>
        <w:rPr>
          <w:noProof/>
        </w:rPr>
        <mc:AlternateContent>
          <mc:Choice Requires="wps">
            <w:drawing>
              <wp:anchor distT="0" distB="0" distL="114300" distR="114300" simplePos="0" relativeHeight="251659264" behindDoc="0" locked="0" layoutInCell="1" allowOverlap="1" wp14:anchorId="53F3FB45" wp14:editId="51FB690C">
                <wp:simplePos x="0" y="0"/>
                <wp:positionH relativeFrom="column">
                  <wp:posOffset>4248150</wp:posOffset>
                </wp:positionH>
                <wp:positionV relativeFrom="paragraph">
                  <wp:posOffset>19685</wp:posOffset>
                </wp:positionV>
                <wp:extent cx="1959428" cy="31242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8" cy="3124200"/>
                        </a:xfrm>
                        <a:prstGeom prst="rect">
                          <a:avLst/>
                        </a:prstGeom>
                        <a:solidFill>
                          <a:srgbClr val="FFFFFF"/>
                        </a:solidFill>
                        <a:ln w="9525">
                          <a:noFill/>
                          <a:miter lim="800000"/>
                          <a:headEnd/>
                          <a:tailEnd/>
                        </a:ln>
                      </wps:spPr>
                      <wps:txbx>
                        <w:txbxContent>
                          <w:p w14:paraId="615739FA" w14:textId="77777777" w:rsidR="00421207" w:rsidRDefault="00421207" w:rsidP="00DE7683">
                            <w:r w:rsidRPr="00DE7683">
                              <w:rPr>
                                <w:b/>
                              </w:rPr>
                              <w:t>Figure 2</w:t>
                            </w:r>
                            <w:r>
                              <w:t xml:space="preserve">: Incremental increase in the relative risk of the onset of conflict by included groups given the number of groups included in the polity, all other variables held at their means. </w:t>
                            </w:r>
                            <w:r w:rsidRPr="002D6172">
                              <w:rPr>
                                <w:i/>
                              </w:rPr>
                              <w:t>India excluded.</w:t>
                            </w:r>
                          </w:p>
                          <w:p w14:paraId="6A5813F8" w14:textId="77777777" w:rsidR="00421207" w:rsidRDefault="00421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4.5pt;margin-top:1.55pt;width:154.3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" stroked="f">
                <v:textbox>
                  <w:txbxContent>
                    <w:p w14:paraId="615739FA" w14:textId="77777777" w:rsidR="00421207" w:rsidRDefault="00421207" w:rsidP="00DE7683">
                      <w:r w:rsidRPr="00DE7683">
                        <w:rPr>
                          <w:b/>
                        </w:rPr>
                        <w:t>Figure 2</w:t>
                      </w:r>
                      <w:r>
                        <w:t xml:space="preserve">: Incremental increase in the relative risk of the onset of conflict by included groups given the number of groups included in the polity, all other variables held at their means. </w:t>
                      </w:r>
                      <w:r w:rsidRPr="002D6172">
                        <w:rPr>
                          <w:i/>
                        </w:rPr>
                        <w:t>India excluded.</w:t>
                      </w:r>
                    </w:p>
                    <w:p w14:paraId="6A5813F8" w14:textId="77777777" w:rsidR="00421207" w:rsidRDefault="00421207"/>
                  </w:txbxContent>
                </v:textbox>
              </v:shape>
            </w:pict>
          </mc:Fallback>
        </mc:AlternateContent>
      </w:r>
      <w:r>
        <w:rPr>
          <w:noProof/>
        </w:rPr>
        <w:drawing>
          <wp:inline distT="0" distB="0" distL="0" distR="0" wp14:anchorId="34F9C92D" wp14:editId="6DA798B0">
            <wp:extent cx="4203865" cy="2826328"/>
            <wp:effectExtent l="0" t="0" r="254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AE4DE1" w14:textId="77777777" w:rsidR="00A5499A" w:rsidRDefault="006076EB" w:rsidP="008301E1">
      <w:r>
        <w:rPr>
          <w:noProof/>
        </w:rPr>
        <mc:AlternateContent>
          <mc:Choice Requires="wps">
            <w:drawing>
              <wp:anchor distT="0" distB="0" distL="114300" distR="114300" simplePos="0" relativeHeight="251663360" behindDoc="0" locked="0" layoutInCell="1" allowOverlap="1" wp14:anchorId="519993DE" wp14:editId="0BCA9646">
                <wp:simplePos x="0" y="0"/>
                <wp:positionH relativeFrom="column">
                  <wp:posOffset>0</wp:posOffset>
                </wp:positionH>
                <wp:positionV relativeFrom="paragraph">
                  <wp:posOffset>208915</wp:posOffset>
                </wp:positionV>
                <wp:extent cx="5676900" cy="695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95325"/>
                        </a:xfrm>
                        <a:prstGeom prst="rect">
                          <a:avLst/>
                        </a:prstGeom>
                        <a:noFill/>
                        <a:ln w="9525">
                          <a:noFill/>
                          <a:miter lim="800000"/>
                          <a:headEnd/>
                          <a:tailEnd/>
                        </a:ln>
                      </wps:spPr>
                      <wps:txbx>
                        <w:txbxContent>
                          <w:p w14:paraId="1DBEC4AF" w14:textId="77777777" w:rsidR="00421207" w:rsidRDefault="00421207" w:rsidP="006076EB">
                            <w:r w:rsidRPr="006076EB">
                              <w:rPr>
                                <w:b/>
                              </w:rPr>
                              <w:t>Figure 3</w:t>
                            </w:r>
                            <w:r w:rsidRPr="00FC0B62">
                              <w:t>: Incremental increase in the relative risk of onset of conflict by excluded groups given the share of the excluded population, all other variables held at their means.</w:t>
                            </w:r>
                          </w:p>
                          <w:p w14:paraId="3A8C36A1" w14:textId="77777777" w:rsidR="00421207" w:rsidRDefault="00421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6.45pt;width:447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" filled="f" stroked="f">
                <v:textbox>
                  <w:txbxContent>
                    <w:p w14:paraId="1DBEC4AF" w14:textId="77777777" w:rsidR="00421207" w:rsidRDefault="00421207" w:rsidP="006076EB">
                      <w:r w:rsidRPr="006076EB">
                        <w:rPr>
                          <w:b/>
                        </w:rPr>
                        <w:t>Figure 3</w:t>
                      </w:r>
                      <w:r w:rsidRPr="00FC0B62">
                        <w:t>: Incremental increase in the relative risk of onset of conflict by excluded groups given the share of the excluded population, all other variables held at their means.</w:t>
                      </w:r>
                    </w:p>
                    <w:p w14:paraId="3A8C36A1" w14:textId="77777777" w:rsidR="00421207" w:rsidRDefault="00421207"/>
                  </w:txbxContent>
                </v:textbox>
              </v:shape>
            </w:pict>
          </mc:Fallback>
        </mc:AlternateContent>
      </w:r>
    </w:p>
    <w:p w14:paraId="7DEE5DC4" w14:textId="77777777" w:rsidR="00FC0B62" w:rsidRDefault="00FC0B62" w:rsidP="008301E1"/>
    <w:p w14:paraId="3C902EC6" w14:textId="77777777" w:rsidR="00FC0B62" w:rsidRDefault="00FC0B62" w:rsidP="008301E1">
      <w:r w:rsidRPr="00FC0B62">
        <w:rPr>
          <w:noProof/>
        </w:rPr>
        <w:lastRenderedPageBreak/>
        <w:drawing>
          <wp:inline distT="0" distB="0" distL="0" distR="0" wp14:anchorId="75F3C11C" wp14:editId="23444C87">
            <wp:extent cx="5676405" cy="2731325"/>
            <wp:effectExtent l="0" t="0" r="1968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5F4477" w14:textId="77777777" w:rsidR="00FC0B62" w:rsidRDefault="00FC0B62" w:rsidP="00FC0B62">
      <w:pPr>
        <w:pStyle w:val="Heading1"/>
      </w:pPr>
      <w:r>
        <w:t>Policy Implications</w:t>
      </w:r>
    </w:p>
    <w:p w14:paraId="1BD2373D" w14:textId="61E1048F" w:rsidR="008301E1" w:rsidRDefault="00DF51D1" w:rsidP="00452E54">
      <w:pPr>
        <w:ind w:firstLine="720"/>
      </w:pPr>
      <w:r>
        <w:t>Overwhelmingly,</w:t>
      </w:r>
      <w:r w:rsidR="008301E1">
        <w:t xml:space="preserve"> the most common type of ethnic conflict against the state</w:t>
      </w:r>
      <w:r>
        <w:t xml:space="preserve"> observed in the past six decades is rebellion, which represents 80% of all ethnic conflicts in the data set employed for this study. This form of conflict </w:t>
      </w:r>
      <w:r w:rsidR="008301E1">
        <w:t xml:space="preserve">occurs when a large portion of ethnic, religious, linguistic, or cultural groups are denied participation in government. </w:t>
      </w:r>
      <w:r>
        <w:t>While the size of the general population is also a significant predictor of conflict, it is</w:t>
      </w:r>
      <w:r w:rsidR="000D61EB">
        <w:t xml:space="preserve"> a structural variable</w:t>
      </w:r>
      <w:r>
        <w:t xml:space="preserve"> </w:t>
      </w:r>
      <w:r w:rsidR="007E05B3">
        <w:t>unamenable to strategies constructed</w:t>
      </w:r>
      <w:r>
        <w:t xml:space="preserve"> to reduce </w:t>
      </w:r>
      <w:r w:rsidR="000D61EB">
        <w:t>instability</w:t>
      </w:r>
      <w:r>
        <w:t xml:space="preserve">. </w:t>
      </w:r>
      <w:r w:rsidR="000D61EB">
        <w:t xml:space="preserve">However, it is possible </w:t>
      </w:r>
      <w:r w:rsidR="001C6F62">
        <w:t>that when</w:t>
      </w:r>
      <w:r w:rsidR="000D61EB">
        <w:t xml:space="preserve"> large ex</w:t>
      </w:r>
      <w:r w:rsidR="001C6F62">
        <w:t xml:space="preserve">cluded populations are more or less geographically separated—such as in Israel or Syria—partitioning the state may reduce instances of conflict. </w:t>
      </w:r>
      <w:r>
        <w:t>Additionally, while GDP per capita has a negative</w:t>
      </w:r>
      <w:r w:rsidR="000D61EB">
        <w:t xml:space="preserve"> effect on rebellion</w:t>
      </w:r>
      <w:r>
        <w:t xml:space="preserve">, its effects are quite small. Similarly, linguistic diversity increases the likelihood of conflict only by the smallest margins. Thus, the conclusions for policy makers should be that </w:t>
      </w:r>
      <w:r w:rsidR="001C6F62">
        <w:t xml:space="preserve">the </w:t>
      </w:r>
      <w:r>
        <w:t>exclusion of ethnic groups increases a country’s instability and</w:t>
      </w:r>
      <w:r w:rsidR="00452E54">
        <w:t xml:space="preserve"> that</w:t>
      </w:r>
      <w:r>
        <w:t xml:space="preserve"> </w:t>
      </w:r>
      <w:r w:rsidR="00452E54">
        <w:t>even non-democratic regimes should attempt to include a number of ethnic groups within the polity. Inclusion within the central government</w:t>
      </w:r>
      <w:r w:rsidR="008301E1">
        <w:t xml:space="preserve"> likely acts as a pressure valve for the discontent of </w:t>
      </w:r>
      <w:r w:rsidR="008301E1">
        <w:lastRenderedPageBreak/>
        <w:t>groups which would otherwise resort to violent means. Thus, the promotion of more inclus</w:t>
      </w:r>
      <w:r w:rsidR="00452E54">
        <w:t xml:space="preserve">ive governments worldwide may </w:t>
      </w:r>
      <w:r w:rsidR="008301E1">
        <w:t xml:space="preserve">reduce instances of conflict. </w:t>
      </w:r>
    </w:p>
    <w:p w14:paraId="12182A9D" w14:textId="5B29E05D" w:rsidR="007E05B3" w:rsidRDefault="00452E54" w:rsidP="007E05B3">
      <w:pPr>
        <w:ind w:firstLine="720"/>
      </w:pPr>
      <w:r>
        <w:t xml:space="preserve">While it may seem contradictory that </w:t>
      </w:r>
      <w:r w:rsidR="001C6F62">
        <w:t>both</w:t>
      </w:r>
      <w:r>
        <w:t xml:space="preserve"> e</w:t>
      </w:r>
      <w:r w:rsidR="001C6F62">
        <w:t>xclusion and high degrees of inclusion result in an increased likelihood of conflict</w:t>
      </w:r>
      <w:r>
        <w:t xml:space="preserve">, it is important to recognize a number of points. First, overall, ethnic groups are much less likely to take up arms when included in the central government. Second, other factors become more important when the form of conflict is initiated by included groups. While fragmentation of the polity </w:t>
      </w:r>
      <w:r w:rsidR="0054558D">
        <w:t>d</w:t>
      </w:r>
      <w:r>
        <w:t>ue to many groups competing for power is important,</w:t>
      </w:r>
      <w:r w:rsidR="008301E1">
        <w:t xml:space="preserve"> the relationship between </w:t>
      </w:r>
      <w:r>
        <w:t>the groups in power</w:t>
      </w:r>
      <w:r w:rsidR="0054558D">
        <w:t xml:space="preserve"> and a country’s</w:t>
      </w:r>
      <w:r>
        <w:t xml:space="preserve"> economy</w:t>
      </w:r>
      <w:r w:rsidR="0054558D">
        <w:t xml:space="preserve"> become more important for determining a state’s susceptibility to armed conflict. Poor countries with a short history of self-governance </w:t>
      </w:r>
      <w:r w:rsidR="001C6F62">
        <w:t>are much more susceptible to conflict</w:t>
      </w:r>
      <w:r w:rsidR="0054558D">
        <w:t xml:space="preserve"> than those which have established norms of governance and are possessive of robust economies. Thus, a global strategy for reducing instances of conflict should pu</w:t>
      </w:r>
      <w:r w:rsidR="007E05B3">
        <w:t>rsue two key objectives: (1) the promotion of</w:t>
      </w:r>
      <w:r w:rsidR="0054558D">
        <w:t xml:space="preserve"> inclusive governments that emphasize democratic norms, and </w:t>
      </w:r>
      <w:r w:rsidR="007E05B3">
        <w:t>(2)</w:t>
      </w:r>
      <w:r w:rsidR="0054558D">
        <w:t xml:space="preserve"> </w:t>
      </w:r>
      <w:r w:rsidR="007E05B3">
        <w:t xml:space="preserve">the </w:t>
      </w:r>
      <w:r w:rsidR="0054558D">
        <w:t>economi</w:t>
      </w:r>
      <w:r w:rsidR="007E05B3">
        <w:t>c development of the country as a whole.</w:t>
      </w:r>
    </w:p>
    <w:p w14:paraId="46AEBCF9" w14:textId="5506233D" w:rsidR="00B96AFE" w:rsidRDefault="0054558D" w:rsidP="007E05B3">
      <w:pPr>
        <w:ind w:firstLine="720"/>
      </w:pPr>
      <w:r>
        <w:t>Both the democratization literature and the global shift since the 1990s in the number of public, private, and non-profit/non-governmental actors enacting such strategies support the robustness of these conc</w:t>
      </w:r>
      <w:r w:rsidR="00EC7BB5">
        <w:t>lusions. These findings suggest that explicit efforts to promote stability might be more effective in some contexts over others.</w:t>
      </w:r>
      <w:r w:rsidR="00AA3B00">
        <w:t xml:space="preserve"> For example, in countries </w:t>
      </w:r>
      <w:r w:rsidR="00EC7BB5">
        <w:t>characterized by high degrees of exclusion, providing more funding to civil society groups and emphasizing political participation might be a more effective strategy than economic development initiatives. For</w:t>
      </w:r>
      <w:r w:rsidR="007E05B3">
        <w:t xml:space="preserve"> inclusive</w:t>
      </w:r>
      <w:r w:rsidR="00EC7BB5">
        <w:t xml:space="preserve"> post-colonial countries, economic development strategies and a focus on promoting executive-level </w:t>
      </w:r>
      <w:r w:rsidR="007E05B3">
        <w:t xml:space="preserve">power sharing through cross-cutting </w:t>
      </w:r>
      <w:r w:rsidR="00EC7BB5">
        <w:t xml:space="preserve">negotiations and agreed adherence to </w:t>
      </w:r>
      <w:r w:rsidR="00EC7BB5">
        <w:lastRenderedPageBreak/>
        <w:t>constitutions written by representative committees may be a more effective means to enhance global stability.</w:t>
      </w:r>
    </w:p>
    <w:p w14:paraId="147B52A5" w14:textId="28A14C8C" w:rsidR="00F26450" w:rsidRDefault="007E05B3" w:rsidP="007E05B3">
      <w:pPr>
        <w:ind w:firstLine="720"/>
      </w:pPr>
      <w:r>
        <w:t xml:space="preserve">The durability of ethnic conflict </w:t>
      </w:r>
      <w:r w:rsidR="00172C7B">
        <w:t>globally has occupied scholars for decades, and the daily news</w:t>
      </w:r>
      <w:r w:rsidR="00BF1C67">
        <w:t xml:space="preserve"> serves as a reminder of </w:t>
      </w:r>
      <w:r w:rsidR="00172C7B">
        <w:t>the impact of ethnically defined struggles. Tragedies in Rwanda, the Darfur region of Sudan, Chechnya, and most recently in Syria,</w:t>
      </w:r>
      <w:r w:rsidR="00E15ABE">
        <w:t xml:space="preserve"> are only a few salient examples of the potential scope of human loss that can result from conflicts of this nature. While Huntington</w:t>
      </w:r>
      <w:r w:rsidR="00CA53C8">
        <w:t xml:space="preserve"> famously</w:t>
      </w:r>
      <w:r w:rsidR="00E15ABE">
        <w:t xml:space="preserve"> argued the ideological binary that fell along with Soviet communism would be filled with cultural conflicts as civiliza</w:t>
      </w:r>
      <w:r w:rsidR="00CA53C8">
        <w:t>tions collided with one another, others have proposed more pragmatic explanations. While both state strength and grievance-based theories offer something to the scholarship, the more nuanced approach of examining the impact of government structure on specific forms of conflict may allow</w:t>
      </w:r>
      <w:r w:rsidR="00BF1C67">
        <w:t xml:space="preserve"> for more tailored approaches to</w:t>
      </w:r>
      <w:r w:rsidR="00CA53C8">
        <w:t xml:space="preserve"> conflict prevention. However, this approach is still relatively new, and the scholarship would benefit from future studies which expand the scope of the study to include other aspects of government. Rather than looking simply at the central government, inclusion or exclusion from parliamentary systems may help explain how forms of hierarchy impact conflict. As well, more time-specific studies (such as </w:t>
      </w:r>
      <w:r w:rsidR="00F26450">
        <w:t xml:space="preserve">time-to-event analyses) would provide actionable information and portable insight into a number of conflicts by adding another dimension of inquiry. </w:t>
      </w:r>
    </w:p>
    <w:p w14:paraId="78E374BB" w14:textId="0ED38836" w:rsidR="007E05B3" w:rsidRDefault="00A53C3A" w:rsidP="007E05B3">
      <w:pPr>
        <w:ind w:firstLine="720"/>
      </w:pPr>
      <w:r>
        <w:t>Though the field has developed significantly, sadly there is much</w:t>
      </w:r>
      <w:r w:rsidR="00F26450">
        <w:t xml:space="preserve"> fodder for future studies.</w:t>
      </w:r>
      <w:r>
        <w:t xml:space="preserve"> However, i</w:t>
      </w:r>
      <w:r w:rsidR="00F26450">
        <w:t>n continuing to pursue understanding in the daunting arena of global ethnic conflict, where a constellation of variables hardly seems sufficient</w:t>
      </w:r>
      <w:r>
        <w:t xml:space="preserve"> explanation</w:t>
      </w:r>
      <w:r w:rsidR="00F26450">
        <w:t>, the hope of living in a more peaceful world is sustained.</w:t>
      </w:r>
    </w:p>
    <w:p w14:paraId="38946CA2" w14:textId="77777777" w:rsidR="0054558D" w:rsidRPr="005F481C" w:rsidRDefault="0054558D" w:rsidP="0054558D">
      <w:pPr>
        <w:ind w:firstLine="720"/>
      </w:pPr>
    </w:p>
    <w:p w14:paraId="311843F7" w14:textId="77777777" w:rsidR="00474917" w:rsidRDefault="00474917" w:rsidP="00474917">
      <w:pPr>
        <w:pStyle w:val="Heading1"/>
      </w:pPr>
      <w:r>
        <w:lastRenderedPageBreak/>
        <w:t>References</w:t>
      </w:r>
    </w:p>
    <w:p w14:paraId="4594F025" w14:textId="77777777" w:rsidR="00474917" w:rsidRDefault="00474917" w:rsidP="00474917">
      <w:pPr>
        <w:pStyle w:val="NormalWeb"/>
        <w:ind w:left="450" w:hanging="450"/>
        <w:rPr>
          <w:color w:val="000000"/>
        </w:rPr>
      </w:pPr>
      <w:r w:rsidRPr="00533E53">
        <w:rPr>
          <w:color w:val="000000"/>
        </w:rPr>
        <w:t>Asal, Victor, Bryan R. Early, and Marcus Schulzke. 2015. "Up in Arms! Explaining Why Ethnic Minority Organizations Form Militias in Transitioning and Post-Communist Eurasian Countries."</w:t>
      </w:r>
      <w:r w:rsidRPr="00533E53">
        <w:rPr>
          <w:rStyle w:val="apple-converted-space"/>
          <w:color w:val="000000"/>
        </w:rPr>
        <w:t> </w:t>
      </w:r>
      <w:r w:rsidRPr="00533E53">
        <w:rPr>
          <w:i/>
          <w:iCs/>
          <w:color w:val="000000"/>
        </w:rPr>
        <w:t>Conflict Management and Peace Science</w:t>
      </w:r>
      <w:r w:rsidRPr="00533E53">
        <w:rPr>
          <w:color w:val="000000"/>
        </w:rPr>
        <w:t>: 1-22.</w:t>
      </w:r>
    </w:p>
    <w:p w14:paraId="0D2F8452" w14:textId="423FB43B" w:rsidR="00466E33" w:rsidRPr="00533E53" w:rsidRDefault="00466E33" w:rsidP="00474917">
      <w:pPr>
        <w:pStyle w:val="NormalWeb"/>
        <w:ind w:left="450" w:hanging="450"/>
        <w:rPr>
          <w:color w:val="000000"/>
        </w:rPr>
      </w:pPr>
      <w:r w:rsidRPr="00466E33">
        <w:rPr>
          <w:color w:val="000000"/>
        </w:rPr>
        <w:t>Beck, Nathaniel, Jonathan N. Katz, and Richard Tucker. 2003. "Taking Time Seriously: Time-Series-Cross-Section Analysis with a Binary Dependent Variable." </w:t>
      </w:r>
      <w:r w:rsidRPr="00466E33">
        <w:rPr>
          <w:i/>
          <w:iCs/>
          <w:color w:val="000000"/>
        </w:rPr>
        <w:t>American Journal of Political Science</w:t>
      </w:r>
      <w:r w:rsidRPr="00466E33">
        <w:rPr>
          <w:color w:val="000000"/>
        </w:rPr>
        <w:t> 42 (4): 1260-1288.</w:t>
      </w:r>
    </w:p>
    <w:p w14:paraId="7DCD926E" w14:textId="77777777" w:rsidR="00C733BD" w:rsidRDefault="00C733BD" w:rsidP="00474917">
      <w:pPr>
        <w:pStyle w:val="NormalWeb"/>
        <w:ind w:left="450" w:hanging="450"/>
        <w:rPr>
          <w:color w:val="000000"/>
        </w:rPr>
      </w:pPr>
      <w:r w:rsidRPr="00533E53">
        <w:rPr>
          <w:color w:val="000000"/>
        </w:rPr>
        <w:t>Box-Steffensmeier, Janet M., Dan Reiter, and Christopher Zorn. 2003. "Nonproportional Hazards and Event History Analysis in International Relations."</w:t>
      </w:r>
      <w:r w:rsidRPr="00533E53">
        <w:rPr>
          <w:rStyle w:val="apple-converted-space"/>
          <w:rFonts w:eastAsiaTheme="majorEastAsia"/>
          <w:color w:val="000000"/>
        </w:rPr>
        <w:t> </w:t>
      </w:r>
      <w:r w:rsidRPr="00533E53">
        <w:rPr>
          <w:i/>
          <w:iCs/>
          <w:color w:val="000000"/>
        </w:rPr>
        <w:t>Journal of Conflict Resolution</w:t>
      </w:r>
      <w:r w:rsidRPr="00533E53">
        <w:rPr>
          <w:rStyle w:val="apple-converted-space"/>
          <w:rFonts w:eastAsiaTheme="majorEastAsia"/>
          <w:color w:val="000000"/>
        </w:rPr>
        <w:t> </w:t>
      </w:r>
      <w:r w:rsidRPr="00533E53">
        <w:rPr>
          <w:color w:val="000000"/>
        </w:rPr>
        <w:t>47 (1): 33-53.</w:t>
      </w:r>
    </w:p>
    <w:p w14:paraId="2B4696D6" w14:textId="168E0C8B" w:rsidR="000C3C45" w:rsidRPr="00533E53" w:rsidRDefault="000C3C45" w:rsidP="000C3C45">
      <w:pPr>
        <w:pStyle w:val="NormalWeb"/>
        <w:ind w:left="450" w:hanging="450"/>
        <w:rPr>
          <w:color w:val="000000"/>
        </w:rPr>
      </w:pPr>
      <w:r w:rsidRPr="000C3C45">
        <w:rPr>
          <w:color w:val="000000"/>
        </w:rPr>
        <w:t>Cederma</w:t>
      </w:r>
      <w:r>
        <w:rPr>
          <w:color w:val="000000"/>
        </w:rPr>
        <w:t>n LE, Wimmer A and Min B. 2010. “</w:t>
      </w:r>
      <w:r w:rsidRPr="000C3C45">
        <w:rPr>
          <w:color w:val="000000"/>
        </w:rPr>
        <w:t xml:space="preserve">Why Do Ethnic Groups Rebel? New </w:t>
      </w:r>
      <w:r>
        <w:rPr>
          <w:color w:val="000000"/>
        </w:rPr>
        <w:t>Data a</w:t>
      </w:r>
      <w:r w:rsidRPr="000C3C45">
        <w:rPr>
          <w:color w:val="000000"/>
        </w:rPr>
        <w:t>nd Analysis.</w:t>
      </w:r>
      <w:r>
        <w:rPr>
          <w:color w:val="000000"/>
        </w:rPr>
        <w:t xml:space="preserve">” </w:t>
      </w:r>
      <w:r w:rsidRPr="000C3C45">
        <w:rPr>
          <w:i/>
          <w:color w:val="000000"/>
        </w:rPr>
        <w:t>World Politics</w:t>
      </w:r>
      <w:r w:rsidRPr="000C3C45">
        <w:rPr>
          <w:color w:val="000000"/>
        </w:rPr>
        <w:t xml:space="preserve"> 62(1): 87–119.</w:t>
      </w:r>
    </w:p>
    <w:p w14:paraId="54D57E4D" w14:textId="77777777" w:rsidR="00803C98" w:rsidRDefault="00803C98" w:rsidP="00474917">
      <w:pPr>
        <w:pStyle w:val="NormalWeb"/>
        <w:ind w:left="450" w:hanging="450"/>
        <w:rPr>
          <w:color w:val="000000"/>
        </w:rPr>
      </w:pPr>
      <w:r w:rsidRPr="00533E53">
        <w:rPr>
          <w:color w:val="000000"/>
        </w:rPr>
        <w:t>Esteban, Joan and Debraj Ray. 2008. "Polarization, Fractionalization and Conflict."</w:t>
      </w:r>
      <w:r w:rsidRPr="00533E53">
        <w:rPr>
          <w:rStyle w:val="apple-converted-space"/>
          <w:rFonts w:eastAsiaTheme="majorEastAsia"/>
          <w:color w:val="000000"/>
        </w:rPr>
        <w:t> </w:t>
      </w:r>
      <w:r w:rsidRPr="00533E53">
        <w:rPr>
          <w:i/>
          <w:iCs/>
          <w:color w:val="000000"/>
        </w:rPr>
        <w:t>Journal of Peace Research</w:t>
      </w:r>
      <w:r w:rsidRPr="00533E53">
        <w:rPr>
          <w:rStyle w:val="apple-converted-space"/>
          <w:rFonts w:eastAsiaTheme="majorEastAsia"/>
          <w:color w:val="000000"/>
        </w:rPr>
        <w:t> </w:t>
      </w:r>
      <w:r w:rsidRPr="00533E53">
        <w:rPr>
          <w:color w:val="000000"/>
        </w:rPr>
        <w:t>45 (2): 163-182.</w:t>
      </w:r>
    </w:p>
    <w:p w14:paraId="75F0E6D2" w14:textId="756778DB" w:rsidR="00A525BC" w:rsidRDefault="00A525BC" w:rsidP="00A525BC">
      <w:pPr>
        <w:pStyle w:val="NormalWeb"/>
        <w:ind w:left="450" w:hanging="450"/>
        <w:rPr>
          <w:color w:val="000000"/>
        </w:rPr>
      </w:pPr>
      <w:r w:rsidRPr="00A525BC">
        <w:rPr>
          <w:color w:val="000000"/>
        </w:rPr>
        <w:t xml:space="preserve">Fearon, James D. and David D. Laitin. 2003. “Ethnicity, Insurgency, and Civil War.” </w:t>
      </w:r>
      <w:r w:rsidRPr="00A525BC">
        <w:rPr>
          <w:i/>
          <w:iCs/>
          <w:color w:val="000000"/>
        </w:rPr>
        <w:t xml:space="preserve">American Political Science Review </w:t>
      </w:r>
      <w:r w:rsidRPr="00A525BC">
        <w:rPr>
          <w:color w:val="000000"/>
        </w:rPr>
        <w:t>97:1–16.</w:t>
      </w:r>
    </w:p>
    <w:p w14:paraId="5CBC543E" w14:textId="0145CD12" w:rsidR="000C3C45" w:rsidRPr="00533E53" w:rsidRDefault="000C3C45" w:rsidP="000C3C45">
      <w:pPr>
        <w:pStyle w:val="NormalWeb"/>
        <w:ind w:left="450" w:hanging="450"/>
        <w:rPr>
          <w:color w:val="000000"/>
        </w:rPr>
      </w:pPr>
      <w:r>
        <w:rPr>
          <w:color w:val="000000"/>
        </w:rPr>
        <w:t>———</w:t>
      </w:r>
      <w:r w:rsidRPr="000C3C45">
        <w:rPr>
          <w:color w:val="000000"/>
        </w:rPr>
        <w:t>. 1996. “Explaining Interethnic Cooperation.”</w:t>
      </w:r>
      <w:r>
        <w:rPr>
          <w:color w:val="000000"/>
        </w:rPr>
        <w:t xml:space="preserve"> </w:t>
      </w:r>
      <w:r w:rsidRPr="000C3C45">
        <w:rPr>
          <w:i/>
          <w:iCs/>
          <w:color w:val="000000"/>
        </w:rPr>
        <w:t xml:space="preserve">American Political Science Review </w:t>
      </w:r>
      <w:r w:rsidRPr="000C3C45">
        <w:rPr>
          <w:color w:val="000000"/>
        </w:rPr>
        <w:t>90, no. 4 (December): 715–35.</w:t>
      </w:r>
    </w:p>
    <w:p w14:paraId="4E121A37" w14:textId="5DCE1367" w:rsidR="00474917" w:rsidRPr="00533E53" w:rsidRDefault="00DE3B5A" w:rsidP="00474917">
      <w:pPr>
        <w:pStyle w:val="NormalWeb"/>
        <w:ind w:left="450" w:hanging="450"/>
        <w:rPr>
          <w:color w:val="000000"/>
        </w:rPr>
      </w:pPr>
      <w:r>
        <w:rPr>
          <w:color w:val="000000"/>
        </w:rPr>
        <w:t xml:space="preserve">Fox, Jonathan. </w:t>
      </w:r>
      <w:r w:rsidR="00474917" w:rsidRPr="00533E53">
        <w:rPr>
          <w:color w:val="000000"/>
        </w:rPr>
        <w:t>2004. "Correlated Conflicts: The Independent Nature of Ethnic Strife."</w:t>
      </w:r>
      <w:r w:rsidR="00474917" w:rsidRPr="00533E53">
        <w:rPr>
          <w:rStyle w:val="apple-converted-space"/>
          <w:color w:val="000000"/>
        </w:rPr>
        <w:t> </w:t>
      </w:r>
      <w:r w:rsidR="00474917" w:rsidRPr="00533E53">
        <w:rPr>
          <w:i/>
          <w:iCs/>
          <w:color w:val="000000"/>
        </w:rPr>
        <w:t>Harvard International Review</w:t>
      </w:r>
      <w:r w:rsidR="00474917" w:rsidRPr="00533E53">
        <w:rPr>
          <w:rStyle w:val="apple-converted-space"/>
          <w:color w:val="000000"/>
        </w:rPr>
        <w:t> </w:t>
      </w:r>
      <w:r w:rsidR="00474917" w:rsidRPr="00533E53">
        <w:rPr>
          <w:color w:val="000000"/>
        </w:rPr>
        <w:t>25 (4): 58-62.</w:t>
      </w:r>
    </w:p>
    <w:p w14:paraId="27849669" w14:textId="77777777" w:rsidR="00474917" w:rsidRPr="00533E53" w:rsidRDefault="00474917" w:rsidP="00474917">
      <w:pPr>
        <w:pStyle w:val="NormalWeb"/>
        <w:ind w:left="450" w:hanging="450"/>
        <w:rPr>
          <w:color w:val="000000"/>
        </w:rPr>
      </w:pPr>
      <w:r w:rsidRPr="00533E53">
        <w:rPr>
          <w:color w:val="000000"/>
        </w:rPr>
        <w:t>———. 2003. "Counting the Causes and Dynamics of Ethnoreligious Violence."</w:t>
      </w:r>
      <w:r w:rsidRPr="00533E53">
        <w:rPr>
          <w:rStyle w:val="apple-converted-space"/>
          <w:color w:val="000000"/>
        </w:rPr>
        <w:t> </w:t>
      </w:r>
      <w:r w:rsidRPr="00533E53">
        <w:rPr>
          <w:i/>
          <w:iCs/>
          <w:color w:val="000000"/>
        </w:rPr>
        <w:t>Totalitarian Movements &amp; Political Religions</w:t>
      </w:r>
      <w:r w:rsidRPr="00533E53">
        <w:rPr>
          <w:rStyle w:val="apple-converted-space"/>
          <w:color w:val="000000"/>
        </w:rPr>
        <w:t> </w:t>
      </w:r>
      <w:r w:rsidRPr="00533E53">
        <w:rPr>
          <w:color w:val="000000"/>
        </w:rPr>
        <w:t>4 (3): 119-144.</w:t>
      </w:r>
    </w:p>
    <w:p w14:paraId="248AF93C" w14:textId="77777777" w:rsidR="00474917" w:rsidRPr="00533E53" w:rsidRDefault="00474917" w:rsidP="00474917">
      <w:pPr>
        <w:pStyle w:val="NormalWeb"/>
        <w:ind w:left="450" w:hanging="450"/>
        <w:rPr>
          <w:color w:val="000000"/>
        </w:rPr>
      </w:pPr>
      <w:r w:rsidRPr="00533E53">
        <w:rPr>
          <w:color w:val="000000"/>
        </w:rPr>
        <w:t>Goldstone, Jack A., Robert H. Bates, David L. Epstein, Ted Robert Gurr, Michael B. Lustik, Monty G. Marshal, Jay Ulfelder, and Mark Woodward. 2010. "A Global Model for Forecasting Political Instability."</w:t>
      </w:r>
      <w:r w:rsidRPr="00533E53">
        <w:rPr>
          <w:rStyle w:val="apple-converted-space"/>
          <w:color w:val="000000"/>
        </w:rPr>
        <w:t> </w:t>
      </w:r>
      <w:r w:rsidRPr="00533E53">
        <w:rPr>
          <w:i/>
          <w:iCs/>
          <w:color w:val="000000"/>
        </w:rPr>
        <w:t>American Journal of Political Science</w:t>
      </w:r>
      <w:r w:rsidRPr="00533E53">
        <w:rPr>
          <w:rStyle w:val="apple-converted-space"/>
          <w:color w:val="000000"/>
        </w:rPr>
        <w:t> </w:t>
      </w:r>
      <w:r w:rsidRPr="00533E53">
        <w:rPr>
          <w:color w:val="000000"/>
        </w:rPr>
        <w:t>54 (1): 190-208.</w:t>
      </w:r>
    </w:p>
    <w:p w14:paraId="02884A64" w14:textId="77777777" w:rsidR="00474917" w:rsidRDefault="00474917" w:rsidP="00474917">
      <w:pPr>
        <w:pStyle w:val="NormalWeb"/>
        <w:ind w:left="450" w:hanging="450"/>
        <w:rPr>
          <w:color w:val="000000"/>
        </w:rPr>
      </w:pPr>
      <w:r w:rsidRPr="00533E53">
        <w:rPr>
          <w:color w:val="000000"/>
        </w:rPr>
        <w:t>Gurr, Ted Robert. 2002. "Attaining Peace in Divided Societies: Five Principles of Emerging Doctrine."</w:t>
      </w:r>
      <w:r w:rsidRPr="00533E53">
        <w:rPr>
          <w:rStyle w:val="apple-converted-space"/>
          <w:color w:val="000000"/>
        </w:rPr>
        <w:t> </w:t>
      </w:r>
      <w:r w:rsidRPr="00533E53">
        <w:rPr>
          <w:i/>
          <w:iCs/>
          <w:color w:val="000000"/>
        </w:rPr>
        <w:t>International Journal on World Peace</w:t>
      </w:r>
      <w:r w:rsidRPr="00533E53">
        <w:rPr>
          <w:rStyle w:val="apple-converted-space"/>
          <w:color w:val="000000"/>
        </w:rPr>
        <w:t> </w:t>
      </w:r>
      <w:r w:rsidRPr="00533E53">
        <w:rPr>
          <w:color w:val="000000"/>
        </w:rPr>
        <w:t>19 (2): 27-51.</w:t>
      </w:r>
    </w:p>
    <w:p w14:paraId="675C2538" w14:textId="6969FF1B" w:rsidR="00BD02A8" w:rsidRPr="00533E53" w:rsidRDefault="00BD02A8" w:rsidP="00FC3BDA">
      <w:pPr>
        <w:pStyle w:val="NormalWeb"/>
        <w:ind w:left="450" w:hanging="450"/>
        <w:rPr>
          <w:color w:val="000000"/>
        </w:rPr>
      </w:pPr>
      <w:r>
        <w:rPr>
          <w:color w:val="000000"/>
        </w:rPr>
        <w:t>———</w:t>
      </w:r>
      <w:r w:rsidRPr="00BD02A8">
        <w:rPr>
          <w:color w:val="000000"/>
        </w:rPr>
        <w:t xml:space="preserve">. 1993. </w:t>
      </w:r>
      <w:r w:rsidRPr="00BD02A8">
        <w:rPr>
          <w:i/>
          <w:iCs/>
          <w:color w:val="000000"/>
        </w:rPr>
        <w:t>Minorities at Risk: A Global View of Ethnopolitical Conflicts</w:t>
      </w:r>
      <w:r w:rsidRPr="00BD02A8">
        <w:rPr>
          <w:color w:val="000000"/>
        </w:rPr>
        <w:t>.</w:t>
      </w:r>
      <w:r>
        <w:rPr>
          <w:color w:val="000000"/>
        </w:rPr>
        <w:t xml:space="preserve"> </w:t>
      </w:r>
      <w:r w:rsidRPr="00BD02A8">
        <w:rPr>
          <w:color w:val="000000"/>
        </w:rPr>
        <w:t>Washington D.C.: usip.</w:t>
      </w:r>
    </w:p>
    <w:p w14:paraId="419A9EC4" w14:textId="62E5B5C7" w:rsidR="00474917" w:rsidRPr="00533E53" w:rsidRDefault="00474917" w:rsidP="00474917">
      <w:pPr>
        <w:pStyle w:val="NormalWeb"/>
        <w:ind w:left="450" w:hanging="450"/>
        <w:rPr>
          <w:color w:val="000000"/>
        </w:rPr>
      </w:pPr>
      <w:r w:rsidRPr="00533E53">
        <w:rPr>
          <w:color w:val="000000"/>
        </w:rPr>
        <w:t>———. 2000.</w:t>
      </w:r>
      <w:r w:rsidRPr="00533E53">
        <w:rPr>
          <w:rStyle w:val="apple-converted-space"/>
          <w:i/>
          <w:iCs/>
          <w:color w:val="000000"/>
        </w:rPr>
        <w:t> </w:t>
      </w:r>
      <w:r w:rsidRPr="00533E53">
        <w:rPr>
          <w:i/>
          <w:iCs/>
          <w:color w:val="000000"/>
        </w:rPr>
        <w:t xml:space="preserve">Peoples </w:t>
      </w:r>
      <w:r w:rsidR="003E403B" w:rsidRPr="00533E53">
        <w:rPr>
          <w:i/>
          <w:iCs/>
          <w:color w:val="000000"/>
        </w:rPr>
        <w:t>versus</w:t>
      </w:r>
      <w:r w:rsidRPr="00533E53">
        <w:rPr>
          <w:i/>
          <w:iCs/>
          <w:color w:val="000000"/>
        </w:rPr>
        <w:t xml:space="preserve"> States: Minorities at Risk in the New Century</w:t>
      </w:r>
      <w:r w:rsidRPr="00533E53">
        <w:rPr>
          <w:color w:val="000000"/>
        </w:rPr>
        <w:t>. Washington DC: United States Institute of Peace.</w:t>
      </w:r>
    </w:p>
    <w:p w14:paraId="63C9A723" w14:textId="77777777" w:rsidR="00474917" w:rsidRDefault="00474917" w:rsidP="00474917">
      <w:pPr>
        <w:pStyle w:val="NormalWeb"/>
        <w:ind w:left="450" w:hanging="450"/>
        <w:rPr>
          <w:color w:val="000000"/>
        </w:rPr>
      </w:pPr>
      <w:r w:rsidRPr="00533E53">
        <w:rPr>
          <w:color w:val="000000"/>
        </w:rPr>
        <w:lastRenderedPageBreak/>
        <w:t>———. 1970.</w:t>
      </w:r>
      <w:r w:rsidRPr="00533E53">
        <w:rPr>
          <w:rStyle w:val="apple-converted-space"/>
          <w:i/>
          <w:iCs/>
          <w:color w:val="000000"/>
        </w:rPr>
        <w:t> </w:t>
      </w:r>
      <w:r w:rsidRPr="00533E53">
        <w:rPr>
          <w:i/>
          <w:iCs/>
          <w:color w:val="000000"/>
        </w:rPr>
        <w:t>Why Men Rebel</w:t>
      </w:r>
      <w:r w:rsidRPr="00533E53">
        <w:rPr>
          <w:color w:val="000000"/>
        </w:rPr>
        <w:t>. New Jersey: Princeton University Press.</w:t>
      </w:r>
    </w:p>
    <w:p w14:paraId="5398A436" w14:textId="40B79BB1" w:rsidR="001779DD" w:rsidRPr="00533E53" w:rsidRDefault="001779DD" w:rsidP="00474917">
      <w:pPr>
        <w:pStyle w:val="NormalWeb"/>
        <w:ind w:left="450" w:hanging="450"/>
        <w:rPr>
          <w:color w:val="000000"/>
        </w:rPr>
      </w:pPr>
      <w:r w:rsidRPr="001779DD">
        <w:rPr>
          <w:color w:val="000000"/>
        </w:rPr>
        <w:t>Gurr, Ted Robert and Barbara Harff. 1994.</w:t>
      </w:r>
      <w:r w:rsidRPr="001779DD">
        <w:rPr>
          <w:i/>
          <w:iCs/>
          <w:color w:val="000000"/>
        </w:rPr>
        <w:t> Ethnic Conflict in World Politics</w:t>
      </w:r>
      <w:r w:rsidRPr="001779DD">
        <w:rPr>
          <w:color w:val="000000"/>
        </w:rPr>
        <w:t>. Boulder, CO: Westview Press.</w:t>
      </w:r>
    </w:p>
    <w:p w14:paraId="4A1DC3B4" w14:textId="77777777" w:rsidR="00474917" w:rsidRDefault="00474917" w:rsidP="00474917">
      <w:pPr>
        <w:pStyle w:val="NormalWeb"/>
        <w:ind w:left="450" w:hanging="450"/>
        <w:rPr>
          <w:color w:val="000000"/>
        </w:rPr>
      </w:pPr>
      <w:r w:rsidRPr="00533E53">
        <w:rPr>
          <w:color w:val="000000"/>
        </w:rPr>
        <w:t>Gurr, Ted Robert and Will H. Moore. 1997. "Ethnopolitical Rebellion: A Cross-Sectional Analysis of the 1980s with Risk Assessments for the 1990s."</w:t>
      </w:r>
      <w:r w:rsidRPr="00533E53">
        <w:rPr>
          <w:rStyle w:val="apple-converted-space"/>
          <w:color w:val="000000"/>
        </w:rPr>
        <w:t> </w:t>
      </w:r>
      <w:r w:rsidRPr="00533E53">
        <w:rPr>
          <w:i/>
          <w:iCs/>
          <w:color w:val="000000"/>
        </w:rPr>
        <w:t>American Journal of Political Science</w:t>
      </w:r>
      <w:r w:rsidRPr="00533E53">
        <w:rPr>
          <w:rStyle w:val="apple-converted-space"/>
          <w:color w:val="000000"/>
        </w:rPr>
        <w:t> </w:t>
      </w:r>
      <w:r w:rsidRPr="00533E53">
        <w:rPr>
          <w:color w:val="000000"/>
        </w:rPr>
        <w:t>41 (4): 1079-1103.</w:t>
      </w:r>
    </w:p>
    <w:p w14:paraId="2CB1C2B5" w14:textId="1A217FFB" w:rsidR="001E417C" w:rsidRDefault="001E417C" w:rsidP="001E417C">
      <w:pPr>
        <w:pStyle w:val="NormalWeb"/>
        <w:ind w:left="450" w:hanging="450"/>
        <w:rPr>
          <w:color w:val="000000"/>
        </w:rPr>
      </w:pPr>
      <w:r>
        <w:rPr>
          <w:color w:val="000000"/>
        </w:rPr>
        <w:t>Huntington, Samuel P., 1997. “</w:t>
      </w:r>
      <w:r w:rsidRPr="00FC3BDA">
        <w:rPr>
          <w:color w:val="000000"/>
        </w:rPr>
        <w:t>Democracy for the</w:t>
      </w:r>
      <w:r>
        <w:rPr>
          <w:color w:val="000000"/>
        </w:rPr>
        <w:t xml:space="preserve"> Long Haul”</w:t>
      </w:r>
      <w:r w:rsidRPr="00FC3BDA">
        <w:rPr>
          <w:color w:val="000000"/>
        </w:rPr>
        <w:t>, in Larry Diamond, Marc F.</w:t>
      </w:r>
      <w:r>
        <w:rPr>
          <w:color w:val="000000"/>
        </w:rPr>
        <w:t xml:space="preserve"> </w:t>
      </w:r>
      <w:r w:rsidRPr="00FC3BDA">
        <w:rPr>
          <w:color w:val="000000"/>
        </w:rPr>
        <w:t>Plattner, Yun-Han Chu &amp; Hung-Mao Tien,</w:t>
      </w:r>
      <w:r>
        <w:rPr>
          <w:color w:val="000000"/>
        </w:rPr>
        <w:t xml:space="preserve"> </w:t>
      </w:r>
      <w:r w:rsidR="003E403B" w:rsidRPr="00FC3BDA">
        <w:rPr>
          <w:color w:val="000000"/>
        </w:rPr>
        <w:t>Eds</w:t>
      </w:r>
      <w:r w:rsidRPr="00FC3BDA">
        <w:rPr>
          <w:color w:val="000000"/>
        </w:rPr>
        <w:t xml:space="preserve">, </w:t>
      </w:r>
      <w:r w:rsidRPr="00FC3BDA">
        <w:rPr>
          <w:i/>
          <w:iCs/>
          <w:color w:val="000000"/>
        </w:rPr>
        <w:t>Consolidating the Third Wave Democracies.</w:t>
      </w:r>
      <w:r>
        <w:rPr>
          <w:i/>
          <w:iCs/>
          <w:color w:val="000000"/>
        </w:rPr>
        <w:t xml:space="preserve"> </w:t>
      </w:r>
      <w:r w:rsidRPr="00FC3BDA">
        <w:rPr>
          <w:color w:val="000000"/>
        </w:rPr>
        <w:t>London: Johns Hopkins University Press</w:t>
      </w:r>
      <w:r>
        <w:rPr>
          <w:color w:val="000000"/>
        </w:rPr>
        <w:t xml:space="preserve"> </w:t>
      </w:r>
      <w:r w:rsidRPr="00FC3BDA">
        <w:rPr>
          <w:color w:val="000000"/>
        </w:rPr>
        <w:t>(3–13).</w:t>
      </w:r>
    </w:p>
    <w:p w14:paraId="48C9B820" w14:textId="30581EC5" w:rsidR="00954719" w:rsidRDefault="00954719" w:rsidP="001E417C">
      <w:pPr>
        <w:pStyle w:val="NormalWeb"/>
        <w:ind w:left="450" w:hanging="450"/>
        <w:rPr>
          <w:color w:val="000000"/>
        </w:rPr>
      </w:pPr>
      <w:r w:rsidRPr="00954719">
        <w:rPr>
          <w:color w:val="000000"/>
        </w:rPr>
        <w:t>Jazayeri, Karen B. 2015. "Identity-Based Political Inequality and Protest: The Dynamic Relationship between Political Power and Protest in the Middle East and North Africa." </w:t>
      </w:r>
      <w:r w:rsidRPr="00954719">
        <w:rPr>
          <w:i/>
          <w:iCs/>
          <w:color w:val="000000"/>
        </w:rPr>
        <w:t>Conflict Management and Peace Science</w:t>
      </w:r>
      <w:r w:rsidRPr="00954719">
        <w:rPr>
          <w:color w:val="000000"/>
        </w:rPr>
        <w:t>: 1-23.</w:t>
      </w:r>
    </w:p>
    <w:p w14:paraId="44F48A62" w14:textId="746DA076" w:rsidR="001E417C" w:rsidRDefault="00DB33AE" w:rsidP="001E417C">
      <w:pPr>
        <w:pStyle w:val="NormalWeb"/>
        <w:ind w:left="450" w:hanging="450"/>
        <w:rPr>
          <w:color w:val="000000"/>
        </w:rPr>
      </w:pPr>
      <w:r w:rsidRPr="00DB33AE">
        <w:rPr>
          <w:color w:val="000000"/>
        </w:rPr>
        <w:t>Jentleson, Bruce W. 2004. "Ethnic and Other Deadly Conflicts." In </w:t>
      </w:r>
      <w:r w:rsidRPr="00DB33AE">
        <w:rPr>
          <w:i/>
          <w:iCs/>
          <w:color w:val="000000"/>
        </w:rPr>
        <w:t>American Foreign Policy: The Dynamics of Choice in the 21st Century</w:t>
      </w:r>
      <w:r w:rsidRPr="00DB33AE">
        <w:rPr>
          <w:color w:val="000000"/>
        </w:rPr>
        <w:t>. Second ed., 461-468. New York: W.W. Norton &amp; Company, Inc.</w:t>
      </w:r>
    </w:p>
    <w:p w14:paraId="1F8ACE62" w14:textId="43DC8164" w:rsidR="000A430A" w:rsidRPr="000A430A" w:rsidRDefault="000A430A" w:rsidP="000A430A">
      <w:pPr>
        <w:pStyle w:val="NormalWeb"/>
      </w:pPr>
      <w:r w:rsidRPr="000A430A">
        <w:t>Kin</w:t>
      </w:r>
      <w:r w:rsidR="00624B92">
        <w:t>g, Gary, and Langche Zeng. 2001</w:t>
      </w:r>
      <w:r w:rsidRPr="000A430A">
        <w:t xml:space="preserve">. “Logistic Regression in Rare Events Data.” </w:t>
      </w:r>
      <w:r w:rsidRPr="000A430A">
        <w:rPr>
          <w:i/>
          <w:iCs/>
        </w:rPr>
        <w:t xml:space="preserve">Political Analysis </w:t>
      </w:r>
      <w:r w:rsidRPr="000A430A">
        <w:t>9(Spring): 137–63.</w:t>
      </w:r>
    </w:p>
    <w:p w14:paraId="0A11C127" w14:textId="77777777" w:rsidR="00474917" w:rsidRDefault="00474917" w:rsidP="00474917">
      <w:pPr>
        <w:pStyle w:val="NormalWeb"/>
        <w:ind w:left="450" w:hanging="450"/>
        <w:rPr>
          <w:color w:val="000000"/>
        </w:rPr>
      </w:pPr>
      <w:r w:rsidRPr="00533E53">
        <w:rPr>
          <w:color w:val="000000"/>
        </w:rPr>
        <w:t>Mousseau, Demet Yalcin. 2001. "Democratizing with Ethnic Divisions: A Source of Conflict?"</w:t>
      </w:r>
      <w:r w:rsidRPr="00533E53">
        <w:rPr>
          <w:rStyle w:val="apple-converted-space"/>
          <w:color w:val="000000"/>
        </w:rPr>
        <w:t> </w:t>
      </w:r>
      <w:r w:rsidRPr="00533E53">
        <w:rPr>
          <w:i/>
          <w:iCs/>
          <w:color w:val="000000"/>
        </w:rPr>
        <w:t>Journal of Peace Research</w:t>
      </w:r>
      <w:r w:rsidRPr="00533E53">
        <w:rPr>
          <w:rStyle w:val="apple-converted-space"/>
          <w:color w:val="000000"/>
        </w:rPr>
        <w:t> </w:t>
      </w:r>
      <w:r w:rsidRPr="00533E53">
        <w:rPr>
          <w:color w:val="000000"/>
        </w:rPr>
        <w:t>38 (5): 547–567.</w:t>
      </w:r>
    </w:p>
    <w:p w14:paraId="5B5D7463" w14:textId="0086BA2B" w:rsidR="00A525BC" w:rsidRDefault="00A525BC" w:rsidP="00A525BC">
      <w:pPr>
        <w:pStyle w:val="NormalWeb"/>
        <w:ind w:left="450" w:hanging="450"/>
        <w:rPr>
          <w:color w:val="000000"/>
        </w:rPr>
      </w:pPr>
      <w:r w:rsidRPr="00A525BC">
        <w:rPr>
          <w:color w:val="000000"/>
        </w:rPr>
        <w:t xml:space="preserve">Muller, Edward N., and Mitchell A. Seligson. 1987. “Inequality and </w:t>
      </w:r>
      <w:r w:rsidR="003E403B" w:rsidRPr="00A525BC">
        <w:rPr>
          <w:color w:val="000000"/>
        </w:rPr>
        <w:t>Insurgency.”</w:t>
      </w:r>
      <w:r w:rsidR="003E403B" w:rsidRPr="00A525BC">
        <w:rPr>
          <w:i/>
          <w:iCs/>
          <w:color w:val="000000"/>
        </w:rPr>
        <w:t xml:space="preserve"> American</w:t>
      </w:r>
      <w:r w:rsidRPr="00A525BC">
        <w:rPr>
          <w:i/>
          <w:iCs/>
          <w:color w:val="000000"/>
        </w:rPr>
        <w:t xml:space="preserve"> Political </w:t>
      </w:r>
      <w:r w:rsidR="003E403B" w:rsidRPr="00A525BC">
        <w:rPr>
          <w:i/>
          <w:iCs/>
          <w:color w:val="000000"/>
        </w:rPr>
        <w:t>Science Review</w:t>
      </w:r>
      <w:r w:rsidRPr="00A525BC">
        <w:rPr>
          <w:i/>
          <w:iCs/>
          <w:color w:val="000000"/>
        </w:rPr>
        <w:t xml:space="preserve"> </w:t>
      </w:r>
      <w:r w:rsidRPr="00A525BC">
        <w:rPr>
          <w:color w:val="000000"/>
        </w:rPr>
        <w:t>81(June):425–52.</w:t>
      </w:r>
    </w:p>
    <w:p w14:paraId="566D1901" w14:textId="3648B4AD" w:rsidR="000C3C45" w:rsidRDefault="000C3C45" w:rsidP="000C3C45">
      <w:pPr>
        <w:pStyle w:val="NormalWeb"/>
        <w:ind w:left="450" w:hanging="450"/>
        <w:rPr>
          <w:color w:val="000000"/>
        </w:rPr>
      </w:pPr>
      <w:r w:rsidRPr="000C3C45">
        <w:rPr>
          <w:color w:val="000000"/>
        </w:rPr>
        <w:t xml:space="preserve">Olzak, Susan. 2006. </w:t>
      </w:r>
      <w:r w:rsidRPr="000C3C45">
        <w:rPr>
          <w:i/>
          <w:iCs/>
          <w:color w:val="000000"/>
        </w:rPr>
        <w:t>The Global Dynamics of Racial and Ethnic Mobilization</w:t>
      </w:r>
      <w:r w:rsidRPr="000C3C45">
        <w:rPr>
          <w:color w:val="000000"/>
        </w:rPr>
        <w:t>. Stanford,</w:t>
      </w:r>
      <w:r>
        <w:rPr>
          <w:color w:val="000000"/>
        </w:rPr>
        <w:t xml:space="preserve"> </w:t>
      </w:r>
      <w:r w:rsidRPr="000C3C45">
        <w:rPr>
          <w:color w:val="000000"/>
        </w:rPr>
        <w:t>Calif.: Stanford University press.</w:t>
      </w:r>
    </w:p>
    <w:p w14:paraId="662B9DDA" w14:textId="77777777" w:rsidR="006F106D" w:rsidRDefault="006F106D" w:rsidP="006F106D">
      <w:pPr>
        <w:pStyle w:val="NormalWeb"/>
        <w:ind w:left="450" w:hanging="450"/>
        <w:rPr>
          <w:color w:val="000000"/>
        </w:rPr>
      </w:pPr>
      <w:r w:rsidRPr="006F106D">
        <w:rPr>
          <w:color w:val="000000"/>
        </w:rPr>
        <w:t xml:space="preserve">Rabushka, Alvin and Kenneth A. Shepsle. 1972. </w:t>
      </w:r>
      <w:r w:rsidRPr="006F106D">
        <w:rPr>
          <w:i/>
          <w:color w:val="000000"/>
        </w:rPr>
        <w:t>Politics in Plural Societies: A Theory of Democratic Instability</w:t>
      </w:r>
      <w:r>
        <w:rPr>
          <w:color w:val="000000"/>
        </w:rPr>
        <w:t>. Columbus, OH: Merrill.</w:t>
      </w:r>
    </w:p>
    <w:p w14:paraId="25CDB86C" w14:textId="6178D186" w:rsidR="000A4FE7" w:rsidRPr="00533E53" w:rsidRDefault="000A4FE7" w:rsidP="006F106D">
      <w:pPr>
        <w:pStyle w:val="NormalWeb"/>
        <w:ind w:left="450" w:hanging="450"/>
        <w:rPr>
          <w:color w:val="000000"/>
        </w:rPr>
      </w:pPr>
      <w:r w:rsidRPr="000A4FE7">
        <w:rPr>
          <w:color w:val="000000"/>
        </w:rPr>
        <w:t>Ross, Michael. 2004. "What do we Know about Natural Resources and Civil War?" </w:t>
      </w:r>
      <w:r w:rsidRPr="000A4FE7">
        <w:rPr>
          <w:i/>
          <w:iCs/>
          <w:color w:val="000000"/>
        </w:rPr>
        <w:t>Journal of Peace Research</w:t>
      </w:r>
      <w:r w:rsidRPr="000A4FE7">
        <w:rPr>
          <w:color w:val="000000"/>
        </w:rPr>
        <w:t> 41: 337-356.</w:t>
      </w:r>
    </w:p>
    <w:p w14:paraId="28A7E6DD" w14:textId="0E317647" w:rsidR="000A430A" w:rsidRPr="00533E53" w:rsidRDefault="000A430A" w:rsidP="000A430A">
      <w:pPr>
        <w:pStyle w:val="NormalWeb"/>
        <w:ind w:left="450" w:hanging="450"/>
        <w:rPr>
          <w:color w:val="000000"/>
        </w:rPr>
      </w:pPr>
      <w:r w:rsidRPr="000A430A">
        <w:rPr>
          <w:color w:val="000000"/>
        </w:rPr>
        <w:t>Sambanis, Nicholas. 2001. “Do Ethnic and Nonethnic Civil</w:t>
      </w:r>
      <w:r>
        <w:rPr>
          <w:color w:val="000000"/>
        </w:rPr>
        <w:t xml:space="preserve"> </w:t>
      </w:r>
      <w:r w:rsidRPr="000A430A">
        <w:rPr>
          <w:color w:val="000000"/>
        </w:rPr>
        <w:t xml:space="preserve">Wars Have the Same Causes?” </w:t>
      </w:r>
      <w:r w:rsidRPr="000A430A">
        <w:rPr>
          <w:i/>
          <w:iCs/>
          <w:color w:val="000000"/>
        </w:rPr>
        <w:t>Journal of Conflict Resolution</w:t>
      </w:r>
      <w:r>
        <w:rPr>
          <w:color w:val="000000"/>
        </w:rPr>
        <w:t xml:space="preserve"> </w:t>
      </w:r>
      <w:r w:rsidRPr="000A430A">
        <w:rPr>
          <w:color w:val="000000"/>
        </w:rPr>
        <w:t>45(June): 259–82.</w:t>
      </w:r>
    </w:p>
    <w:p w14:paraId="4E1D372B" w14:textId="77777777" w:rsidR="00C733BD" w:rsidRPr="00533E53" w:rsidRDefault="00474917" w:rsidP="00C733BD">
      <w:pPr>
        <w:pStyle w:val="NormalWeb"/>
        <w:ind w:left="450" w:hanging="450"/>
        <w:rPr>
          <w:color w:val="000000"/>
        </w:rPr>
      </w:pPr>
      <w:r w:rsidRPr="00533E53">
        <w:rPr>
          <w:color w:val="000000"/>
        </w:rPr>
        <w:t>Scarrit, James R., Susan M. McMillan, and Shaheen Mozaffar. 2001. "The Interaction between Democracy and Ethnopolitical Protest and Rebellion in Africa."</w:t>
      </w:r>
      <w:r w:rsidRPr="00533E53">
        <w:rPr>
          <w:rStyle w:val="apple-converted-space"/>
          <w:color w:val="000000"/>
        </w:rPr>
        <w:t> </w:t>
      </w:r>
      <w:r w:rsidRPr="00533E53">
        <w:rPr>
          <w:i/>
          <w:iCs/>
          <w:color w:val="000000"/>
        </w:rPr>
        <w:t>Comparative Political Studies</w:t>
      </w:r>
      <w:r w:rsidRPr="00533E53">
        <w:rPr>
          <w:rStyle w:val="apple-converted-space"/>
          <w:color w:val="000000"/>
        </w:rPr>
        <w:t> </w:t>
      </w:r>
      <w:r w:rsidRPr="00533E53">
        <w:rPr>
          <w:color w:val="000000"/>
        </w:rPr>
        <w:t>34 (7): 800-827.</w:t>
      </w:r>
    </w:p>
    <w:p w14:paraId="647FE051" w14:textId="724DD7AF" w:rsidR="00E75ADE" w:rsidRPr="00533E53" w:rsidRDefault="00474917" w:rsidP="00E75ADE">
      <w:pPr>
        <w:pStyle w:val="NormalWeb"/>
        <w:ind w:left="450" w:hanging="450"/>
        <w:rPr>
          <w:color w:val="000000"/>
        </w:rPr>
      </w:pPr>
      <w:r w:rsidRPr="00533E53">
        <w:rPr>
          <w:color w:val="000000"/>
        </w:rPr>
        <w:lastRenderedPageBreak/>
        <w:t>Skocpol, Theda. 1979.</w:t>
      </w:r>
      <w:r w:rsidRPr="00533E53">
        <w:rPr>
          <w:rStyle w:val="apple-converted-space"/>
          <w:i/>
          <w:iCs/>
          <w:color w:val="000000"/>
        </w:rPr>
        <w:t> </w:t>
      </w:r>
      <w:r w:rsidRPr="00533E53">
        <w:rPr>
          <w:i/>
          <w:iCs/>
          <w:color w:val="000000"/>
        </w:rPr>
        <w:t>States and Social Revolutions: A Comparative Analysis of France, Russia, and China</w:t>
      </w:r>
      <w:r w:rsidRPr="00533E53">
        <w:rPr>
          <w:color w:val="000000"/>
        </w:rPr>
        <w:t>. Cambridge: Cambridge University Press.</w:t>
      </w:r>
    </w:p>
    <w:p w14:paraId="3F7A3B45" w14:textId="77777777" w:rsidR="00474917" w:rsidRDefault="00474917" w:rsidP="00474917">
      <w:pPr>
        <w:pStyle w:val="NormalWeb"/>
        <w:ind w:left="450" w:hanging="450"/>
        <w:rPr>
          <w:color w:val="000000"/>
        </w:rPr>
      </w:pPr>
      <w:r w:rsidRPr="00533E53">
        <w:rPr>
          <w:color w:val="000000"/>
        </w:rPr>
        <w:t>Tarrow, Sidney G. 2011.</w:t>
      </w:r>
      <w:r w:rsidRPr="00533E53">
        <w:rPr>
          <w:rStyle w:val="apple-converted-space"/>
          <w:i/>
          <w:iCs/>
          <w:color w:val="000000"/>
        </w:rPr>
        <w:t> </w:t>
      </w:r>
      <w:r w:rsidRPr="00533E53">
        <w:rPr>
          <w:i/>
          <w:iCs/>
          <w:color w:val="000000"/>
        </w:rPr>
        <w:t>Power in Movement: Social Movement and Contentious Politics</w:t>
      </w:r>
      <w:r w:rsidRPr="00533E53">
        <w:rPr>
          <w:color w:val="000000"/>
        </w:rPr>
        <w:t>. New York: Cambridge University Press.</w:t>
      </w:r>
    </w:p>
    <w:p w14:paraId="359BA0F2" w14:textId="6A4177FA" w:rsidR="005E0762" w:rsidRDefault="005E0762" w:rsidP="005E0762">
      <w:pPr>
        <w:pStyle w:val="NormalWeb"/>
        <w:rPr>
          <w:color w:val="000000"/>
        </w:rPr>
      </w:pPr>
      <w:r w:rsidRPr="005E0762">
        <w:rPr>
          <w:color w:val="000000"/>
        </w:rPr>
        <w:t xml:space="preserve">Tilly, Charles. 1978. </w:t>
      </w:r>
      <w:r w:rsidRPr="005E0762">
        <w:rPr>
          <w:i/>
          <w:iCs/>
          <w:color w:val="000000"/>
        </w:rPr>
        <w:t>From Mobilization to Revolution</w:t>
      </w:r>
      <w:r w:rsidRPr="005E0762">
        <w:rPr>
          <w:color w:val="000000"/>
        </w:rPr>
        <w:t>. Reading, MA: Addison-Wesley.</w:t>
      </w:r>
    </w:p>
    <w:p w14:paraId="3366B080" w14:textId="34E59FAE" w:rsidR="00BD02A8" w:rsidRPr="00BD02A8" w:rsidRDefault="00BD02A8" w:rsidP="005E0762">
      <w:pPr>
        <w:pStyle w:val="NormalWeb"/>
        <w:rPr>
          <w:i/>
          <w:iCs/>
          <w:color w:val="000000"/>
        </w:rPr>
      </w:pPr>
      <w:r w:rsidRPr="00BD02A8">
        <w:rPr>
          <w:color w:val="000000"/>
        </w:rPr>
        <w:t xml:space="preserve">Toft, Monica. 2003. </w:t>
      </w:r>
      <w:r w:rsidRPr="00BD02A8">
        <w:rPr>
          <w:i/>
          <w:iCs/>
          <w:color w:val="000000"/>
        </w:rPr>
        <w:t>The Geography of Ethnic Violence: Identity, Interests, and the Indivisibility of Territory</w:t>
      </w:r>
      <w:r w:rsidRPr="00BD02A8">
        <w:rPr>
          <w:color w:val="000000"/>
        </w:rPr>
        <w:t>. Princeton, NJ: Princeton University</w:t>
      </w:r>
      <w:r w:rsidRPr="00BD02A8">
        <w:rPr>
          <w:i/>
          <w:iCs/>
          <w:color w:val="000000"/>
        </w:rPr>
        <w:t xml:space="preserve"> </w:t>
      </w:r>
      <w:r w:rsidRPr="00BD02A8">
        <w:rPr>
          <w:color w:val="000000"/>
        </w:rPr>
        <w:t>Press.</w:t>
      </w:r>
    </w:p>
    <w:p w14:paraId="7E8CE0AE" w14:textId="2FF4F624" w:rsidR="000A430A" w:rsidRDefault="002A1364" w:rsidP="000A430A">
      <w:pPr>
        <w:pStyle w:val="NormalWeb"/>
        <w:ind w:left="450" w:hanging="450"/>
      </w:pPr>
      <w:r>
        <w:rPr>
          <w:color w:val="000000"/>
        </w:rPr>
        <w:t xml:space="preserve">Tomz, </w:t>
      </w:r>
      <w:r w:rsidRPr="00E75ADE">
        <w:rPr>
          <w:color w:val="000000"/>
        </w:rPr>
        <w:t>Michael</w:t>
      </w:r>
      <w:r>
        <w:rPr>
          <w:color w:val="000000"/>
        </w:rPr>
        <w:t xml:space="preserve">, </w:t>
      </w:r>
      <w:r w:rsidR="00E75ADE" w:rsidRPr="00E75ADE">
        <w:rPr>
          <w:color w:val="000000"/>
        </w:rPr>
        <w:t>Gary King, and Langche Zeng. 200</w:t>
      </w:r>
      <w:r w:rsidR="00E75ADE" w:rsidRPr="00E75ADE">
        <w:t>3. “</w:t>
      </w:r>
      <w:hyperlink r:id="rId14" w:history="1">
        <w:r w:rsidR="00E75ADE" w:rsidRPr="00E75ADE">
          <w:rPr>
            <w:rStyle w:val="Hyperlink"/>
            <w:color w:val="auto"/>
            <w:u w:val="none"/>
          </w:rPr>
          <w:t>ReLogit: Rare Events Logistic Regression</w:t>
        </w:r>
      </w:hyperlink>
      <w:r w:rsidR="00E75ADE" w:rsidRPr="00E75ADE">
        <w:t xml:space="preserve">.” </w:t>
      </w:r>
      <w:r w:rsidR="00E75ADE" w:rsidRPr="00E75ADE">
        <w:rPr>
          <w:i/>
        </w:rPr>
        <w:t>Journal of Statistical Software</w:t>
      </w:r>
      <w:r w:rsidR="00E75ADE" w:rsidRPr="00E75ADE">
        <w:t>, 8. Copy at </w:t>
      </w:r>
      <w:hyperlink r:id="rId15" w:history="1">
        <w:r w:rsidR="00E75ADE" w:rsidRPr="00E75ADE">
          <w:rPr>
            <w:rStyle w:val="Hyperlink"/>
            <w:color w:val="auto"/>
            <w:u w:val="none"/>
          </w:rPr>
          <w:t>http://j.mp/1zDoJbF</w:t>
        </w:r>
      </w:hyperlink>
    </w:p>
    <w:p w14:paraId="4DA6A5B2" w14:textId="77777777" w:rsidR="00466E33" w:rsidRDefault="00466E33" w:rsidP="00466E33">
      <w:pPr>
        <w:pStyle w:val="NormalWeb"/>
        <w:ind w:left="450" w:hanging="450"/>
      </w:pPr>
      <w:r w:rsidRPr="00533E53">
        <w:rPr>
          <w:color w:val="000000"/>
        </w:rPr>
        <w:t xml:space="preserve">Wimmer, Andreas. 2008. "The </w:t>
      </w:r>
      <w:r>
        <w:rPr>
          <w:color w:val="000000"/>
        </w:rPr>
        <w:t>Making and Unmaking o</w:t>
      </w:r>
      <w:r w:rsidRPr="00533E53">
        <w:rPr>
          <w:color w:val="000000"/>
        </w:rPr>
        <w:t>f Ethnic Boundaries. A Multi-Level</w:t>
      </w:r>
      <w:r>
        <w:rPr>
          <w:color w:val="000000"/>
        </w:rPr>
        <w:t xml:space="preserve"> </w:t>
      </w:r>
      <w:r w:rsidRPr="00533E53">
        <w:rPr>
          <w:color w:val="000000"/>
        </w:rPr>
        <w:t xml:space="preserve">Process Theory." </w:t>
      </w:r>
      <w:hyperlink r:id="rId16" w:history="1">
        <w:r w:rsidRPr="00466E33">
          <w:rPr>
            <w:rStyle w:val="Hyperlink"/>
            <w:i/>
            <w:color w:val="auto"/>
            <w:u w:val="none"/>
          </w:rPr>
          <w:t>American Journal of Sociology</w:t>
        </w:r>
      </w:hyperlink>
      <w:r w:rsidRPr="00466E33">
        <w:t> (Impact Factor: 3.17). </w:t>
      </w:r>
      <w:r>
        <w:t xml:space="preserve">February: </w:t>
      </w:r>
      <w:r w:rsidRPr="00466E33">
        <w:t>113(4):970-1022. DOI: 10.1086/522803</w:t>
      </w:r>
    </w:p>
    <w:p w14:paraId="5814BAD8" w14:textId="77777777" w:rsidR="000A430A" w:rsidRDefault="000A430A" w:rsidP="000A430A">
      <w:pPr>
        <w:pStyle w:val="NormalWeb"/>
        <w:ind w:left="450" w:hanging="450"/>
      </w:pPr>
      <w:r w:rsidRPr="000A430A">
        <w:t xml:space="preserve">Wimmer, Andreas and Brian Min. 2006. “From Empire to Nation-State: Explaining Wars in the Modern World, 1816–2001.” </w:t>
      </w:r>
      <w:r w:rsidRPr="000A430A">
        <w:rPr>
          <w:i/>
          <w:iCs/>
        </w:rPr>
        <w:t>American</w:t>
      </w:r>
      <w:r w:rsidRPr="000A430A">
        <w:t xml:space="preserve"> </w:t>
      </w:r>
      <w:r w:rsidRPr="000A430A">
        <w:rPr>
          <w:i/>
          <w:iCs/>
        </w:rPr>
        <w:t xml:space="preserve">Sociological Review </w:t>
      </w:r>
      <w:r w:rsidRPr="000A430A">
        <w:t>71:867–97.</w:t>
      </w:r>
    </w:p>
    <w:p w14:paraId="3128D3CE" w14:textId="3DBA7E9A" w:rsidR="00A41544" w:rsidRDefault="000A430A" w:rsidP="00DB33AE">
      <w:pPr>
        <w:pStyle w:val="NormalWeb"/>
        <w:ind w:left="450" w:hanging="450"/>
        <w:rPr>
          <w:color w:val="000000"/>
        </w:rPr>
      </w:pPr>
      <w:r w:rsidRPr="00533E53">
        <w:rPr>
          <w:color w:val="000000"/>
        </w:rPr>
        <w:t>Wimmer,</w:t>
      </w:r>
      <w:r>
        <w:rPr>
          <w:color w:val="000000"/>
        </w:rPr>
        <w:t xml:space="preserve"> Andreas, and</w:t>
      </w:r>
      <w:r w:rsidRPr="00533E53">
        <w:rPr>
          <w:color w:val="000000"/>
        </w:rPr>
        <w:t xml:space="preserve"> L</w:t>
      </w:r>
      <w:r>
        <w:rPr>
          <w:color w:val="000000"/>
        </w:rPr>
        <w:t>ars-Erik Cederman and Brian Min. 2009</w:t>
      </w:r>
      <w:r w:rsidR="00A03461">
        <w:rPr>
          <w:color w:val="000000"/>
        </w:rPr>
        <w:t>a</w:t>
      </w:r>
      <w:r>
        <w:rPr>
          <w:color w:val="000000"/>
        </w:rPr>
        <w:t xml:space="preserve">. </w:t>
      </w:r>
      <w:r w:rsidRPr="00533E53">
        <w:rPr>
          <w:color w:val="000000"/>
        </w:rPr>
        <w:t>"Ethnic politics and armed conflict. A configurational analysis of a new global dataset", in American Sociolo</w:t>
      </w:r>
      <w:r>
        <w:rPr>
          <w:color w:val="000000"/>
        </w:rPr>
        <w:t>gical Review 74(2):316-337</w:t>
      </w:r>
      <w:r w:rsidRPr="00533E53">
        <w:rPr>
          <w:color w:val="000000"/>
        </w:rPr>
        <w:t>.</w:t>
      </w:r>
    </w:p>
    <w:p w14:paraId="15D4A12C" w14:textId="0667231B" w:rsidR="00A03461" w:rsidRDefault="00A03461" w:rsidP="00A03461">
      <w:pPr>
        <w:pStyle w:val="NormalWeb"/>
        <w:ind w:left="450" w:hanging="450"/>
        <w:rPr>
          <w:color w:val="000000"/>
        </w:rPr>
      </w:pPr>
      <w:r>
        <w:rPr>
          <w:color w:val="000000"/>
        </w:rPr>
        <w:t xml:space="preserve">———. 2009b. </w:t>
      </w:r>
      <w:r w:rsidRPr="00533E53">
        <w:rPr>
          <w:color w:val="000000"/>
        </w:rPr>
        <w:t>"Ethnic politics and armed conflict. A configurational analys</w:t>
      </w:r>
      <w:r>
        <w:rPr>
          <w:color w:val="000000"/>
        </w:rPr>
        <w:t xml:space="preserve">is of a new global dataset. ONLINE APPENDIX” </w:t>
      </w:r>
      <w:r w:rsidRPr="00A03461">
        <w:rPr>
          <w:i/>
          <w:color w:val="000000"/>
        </w:rPr>
        <w:t>American Sociological Review</w:t>
      </w:r>
      <w:r>
        <w:rPr>
          <w:color w:val="000000"/>
        </w:rPr>
        <w:t xml:space="preserve"> 74(2):316-337</w:t>
      </w:r>
      <w:r w:rsidRPr="00533E53">
        <w:rPr>
          <w:color w:val="000000"/>
        </w:rPr>
        <w:t>.</w:t>
      </w:r>
    </w:p>
    <w:p w14:paraId="34D960FC" w14:textId="77777777" w:rsidR="00A03461" w:rsidRDefault="00A03461" w:rsidP="00DB33AE">
      <w:pPr>
        <w:pStyle w:val="NormalWeb"/>
        <w:ind w:left="450" w:hanging="450"/>
        <w:rPr>
          <w:color w:val="000000"/>
        </w:rPr>
      </w:pPr>
    </w:p>
    <w:sectPr w:rsidR="00A03461" w:rsidSect="00DE7683">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1324C5" w15:done="0"/>
  <w15:commentEx w15:paraId="4896D9CE" w15:done="0"/>
  <w15:commentEx w15:paraId="5E2E85A8" w15:done="0"/>
  <w15:commentEx w15:paraId="0C76A249" w15:done="0"/>
  <w15:commentEx w15:paraId="3E3C8F74" w15:done="0"/>
  <w15:commentEx w15:paraId="3458332D" w15:done="0"/>
  <w15:commentEx w15:paraId="36B01D9D" w15:done="0"/>
  <w15:commentEx w15:paraId="1D6CE8D4" w15:done="0"/>
  <w15:commentEx w15:paraId="762CC9DB" w15:done="0"/>
  <w15:commentEx w15:paraId="2F48C348" w15:done="0"/>
  <w15:commentEx w15:paraId="15786A37" w15:done="0"/>
  <w15:commentEx w15:paraId="478F7747" w15:done="0"/>
  <w15:commentEx w15:paraId="5305AD29" w15:done="0"/>
  <w15:commentEx w15:paraId="1BD0DF3B" w15:done="0"/>
  <w15:commentEx w15:paraId="37108C09" w15:done="0"/>
  <w15:commentEx w15:paraId="738FA68C" w15:done="0"/>
  <w15:commentEx w15:paraId="68F53414" w15:done="0"/>
  <w15:commentEx w15:paraId="21DBE0C6" w15:done="0"/>
  <w15:commentEx w15:paraId="0B4AC8ED" w15:done="0"/>
  <w15:commentEx w15:paraId="4F0ADA07" w15:done="0"/>
  <w15:commentEx w15:paraId="6E5B25A4" w15:done="0"/>
  <w15:commentEx w15:paraId="32ECCA25" w15:done="0"/>
  <w15:commentEx w15:paraId="2489EDEC" w15:done="0"/>
  <w15:commentEx w15:paraId="7B206D64" w15:done="0"/>
  <w15:commentEx w15:paraId="7341EC65" w15:done="0"/>
  <w15:commentEx w15:paraId="7627E37D" w15:done="0"/>
  <w15:commentEx w15:paraId="3E7B497F" w15:done="0"/>
  <w15:commentEx w15:paraId="18A031A1" w15:done="0"/>
  <w15:commentEx w15:paraId="60FC9748" w15:done="0"/>
  <w15:commentEx w15:paraId="32913F73" w15:done="0"/>
  <w15:commentEx w15:paraId="37D310CF" w15:done="0"/>
  <w15:commentEx w15:paraId="3B37A947" w15:done="0"/>
  <w15:commentEx w15:paraId="49B8DE62" w15:done="0"/>
  <w15:commentEx w15:paraId="7C7EE3DD" w15:done="0"/>
  <w15:commentEx w15:paraId="6F31E8AB" w15:done="0"/>
  <w15:commentEx w15:paraId="22AC62C8" w15:done="0"/>
  <w15:commentEx w15:paraId="4F8B7F5E" w15:done="0"/>
  <w15:commentEx w15:paraId="3918D6D3" w15:done="0"/>
  <w15:commentEx w15:paraId="3CD6A3F8" w15:done="0"/>
  <w15:commentEx w15:paraId="149882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4D90E" w14:textId="77777777" w:rsidR="00CC09B4" w:rsidRDefault="00CC09B4" w:rsidP="00474917">
      <w:pPr>
        <w:spacing w:after="0" w:line="240" w:lineRule="auto"/>
      </w:pPr>
      <w:r>
        <w:separator/>
      </w:r>
    </w:p>
  </w:endnote>
  <w:endnote w:type="continuationSeparator" w:id="0">
    <w:p w14:paraId="269E5937" w14:textId="77777777" w:rsidR="00CC09B4" w:rsidRDefault="00CC09B4" w:rsidP="0047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AD608" w14:textId="77777777" w:rsidR="00421207" w:rsidRDefault="00421207" w:rsidP="007F7972">
    <w:pPr>
      <w:pStyle w:val="Footer"/>
      <w:tabs>
        <w:tab w:val="clear" w:pos="4680"/>
        <w:tab w:val="clear" w:pos="9360"/>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64ED9" w14:textId="77777777" w:rsidR="00CC09B4" w:rsidRDefault="00CC09B4" w:rsidP="00474917">
      <w:pPr>
        <w:spacing w:after="0" w:line="240" w:lineRule="auto"/>
      </w:pPr>
      <w:r>
        <w:separator/>
      </w:r>
    </w:p>
  </w:footnote>
  <w:footnote w:type="continuationSeparator" w:id="0">
    <w:p w14:paraId="53B1A00A" w14:textId="77777777" w:rsidR="00CC09B4" w:rsidRDefault="00CC09B4" w:rsidP="00474917">
      <w:pPr>
        <w:spacing w:after="0" w:line="240" w:lineRule="auto"/>
      </w:pPr>
      <w:r>
        <w:continuationSeparator/>
      </w:r>
    </w:p>
  </w:footnote>
  <w:footnote w:id="1">
    <w:p w14:paraId="63FA6E6D" w14:textId="77777777" w:rsidR="00421207" w:rsidRPr="00F05E5E" w:rsidRDefault="00421207" w:rsidP="00EA07F0">
      <w:pPr>
        <w:pStyle w:val="FootnoteText"/>
      </w:pPr>
      <w:r>
        <w:rPr>
          <w:rStyle w:val="FootnoteReference"/>
        </w:rPr>
        <w:footnoteRef/>
      </w:r>
      <w:r>
        <w:t xml:space="preserve"> Examples of influential scholars adopting a primordialist perspective are David L. Horowitz, Anthony D. Smith, and Pierre L. van den Berghe.</w:t>
      </w:r>
    </w:p>
  </w:footnote>
  <w:footnote w:id="2">
    <w:p w14:paraId="196B26DD" w14:textId="77777777" w:rsidR="00421207" w:rsidRDefault="00421207">
      <w:pPr>
        <w:pStyle w:val="FootnoteText"/>
      </w:pPr>
      <w:r>
        <w:rPr>
          <w:rStyle w:val="FootnoteReference"/>
        </w:rPr>
        <w:footnoteRef/>
      </w:r>
      <w:r>
        <w:t xml:space="preserve"> That is, a government characterized by a mixed or confused system, falling somewhere between autocracy and democracy</w:t>
      </w:r>
    </w:p>
  </w:footnote>
  <w:footnote w:id="3">
    <w:p w14:paraId="3758EEC6" w14:textId="0D6895EE" w:rsidR="008A10E6" w:rsidRDefault="008A10E6">
      <w:pPr>
        <w:pStyle w:val="FootnoteText"/>
      </w:pPr>
      <w:r>
        <w:rPr>
          <w:rStyle w:val="FootnoteReference"/>
        </w:rPr>
        <w:footnoteRef/>
      </w:r>
      <w:r>
        <w:t xml:space="preserve"> L</w:t>
      </w:r>
      <w:r w:rsidRPr="008A10E6">
        <w:t>ogistic regression remains the dominant approach to measuring the onset of conflict within cross-sectional—time-series data sets, despite unresolved issues of temporal dependence between observations.</w:t>
      </w:r>
    </w:p>
  </w:footnote>
  <w:footnote w:id="4">
    <w:p w14:paraId="3EBEA8E7" w14:textId="77777777" w:rsidR="00421207" w:rsidRDefault="00421207">
      <w:pPr>
        <w:pStyle w:val="FootnoteText"/>
      </w:pPr>
      <w:r>
        <w:rPr>
          <w:rStyle w:val="FootnoteReference"/>
        </w:rPr>
        <w:footnoteRef/>
      </w:r>
      <w:r>
        <w:t>The advantage of expert survey data, particularly in a study seeking to identify ethnic representatives in government, is the greater flexibility to distinguish substantive representation from token representation in government. The disadvantage, however, is the lack of precise parameters applied to the coding of groups and group status.</w:t>
      </w:r>
    </w:p>
  </w:footnote>
  <w:footnote w:id="5">
    <w:p w14:paraId="33627DBC" w14:textId="77777777" w:rsidR="00421207" w:rsidRDefault="00421207">
      <w:pPr>
        <w:pStyle w:val="FootnoteText"/>
      </w:pPr>
      <w:r>
        <w:rPr>
          <w:rStyle w:val="FootnoteReference"/>
        </w:rPr>
        <w:footnoteRef/>
      </w:r>
      <w:r>
        <w:t xml:space="preserve"> More information on the understanding of ethnicity behind the EPR dataset is provided by </w:t>
      </w:r>
      <w:r w:rsidRPr="00DB33AE">
        <w:t>Wimmer (2008</w:t>
      </w:r>
      <w:r>
        <w:t>).</w:t>
      </w:r>
    </w:p>
  </w:footnote>
  <w:footnote w:id="6">
    <w:p w14:paraId="647E6AA3" w14:textId="3697B1D6" w:rsidR="00421207" w:rsidRDefault="00421207">
      <w:pPr>
        <w:pStyle w:val="FootnoteText"/>
      </w:pPr>
      <w:r>
        <w:rPr>
          <w:rStyle w:val="FootnoteReference"/>
        </w:rPr>
        <w:footnoteRef/>
      </w:r>
      <w:r>
        <w:t xml:space="preserve"> This was achieved by recoding the disaggregated ethnic conflict variable in the original dataset in order to create two dichotomous variables which contained as positive events only conflicts initiated by excluded and included groups. This allows for the more robust rare events binary logistic regression to be employed rather than the multinomial logistic regression used by </w:t>
      </w:r>
      <w:r w:rsidRPr="00954AF3">
        <w:t xml:space="preserve">Wimmer, Cederman, and Min </w:t>
      </w:r>
      <w:r>
        <w:t>(</w:t>
      </w:r>
      <w:r w:rsidRPr="00954AF3">
        <w:t>2009</w:t>
      </w:r>
      <w:r w:rsidR="00A03461">
        <w:t>a</w:t>
      </w:r>
      <w:r>
        <w:t>).</w:t>
      </w:r>
    </w:p>
  </w:footnote>
  <w:footnote w:id="7">
    <w:p w14:paraId="60CDEB25" w14:textId="77777777" w:rsidR="00421207" w:rsidRDefault="00421207">
      <w:pPr>
        <w:pStyle w:val="FootnoteText"/>
      </w:pPr>
      <w:r>
        <w:rPr>
          <w:rStyle w:val="FootnoteReference"/>
        </w:rPr>
        <w:footnoteRef/>
      </w:r>
      <w:r>
        <w:t xml:space="preserve"> Within the data set, 50% of countries have a value of less than 0.035, 75% countries are less than 0.14, and 95% of countries exclude less than 58 percent of the population, yet the variable extends to .98 and has a skewness of 2.4. In contrast, the share of the excluded population variable has a skewness of only 0.15. </w:t>
      </w:r>
    </w:p>
  </w:footnote>
  <w:footnote w:id="8">
    <w:p w14:paraId="56C2D4EA" w14:textId="77777777" w:rsidR="00421207" w:rsidRDefault="00421207">
      <w:pPr>
        <w:pStyle w:val="FootnoteText"/>
      </w:pPr>
      <w:r>
        <w:rPr>
          <w:rStyle w:val="FootnoteReference"/>
        </w:rPr>
        <w:footnoteRef/>
      </w:r>
      <w:r>
        <w:t xml:space="preserve"> In the model, only India has more than 8 groups, with each observation coded at 13 or 14 included groups. Therefore, the findings section will present computed probabilities with India both included and excluded in the number of groups variable, and will include several robustness checks.</w:t>
      </w:r>
    </w:p>
  </w:footnote>
  <w:footnote w:id="9">
    <w:p w14:paraId="0B6EF31F" w14:textId="77777777" w:rsidR="00421207" w:rsidRDefault="00421207">
      <w:pPr>
        <w:pStyle w:val="FootnoteText"/>
      </w:pPr>
      <w:r>
        <w:rPr>
          <w:rStyle w:val="FootnoteReference"/>
        </w:rPr>
        <w:footnoteRef/>
      </w:r>
      <w:r>
        <w:t xml:space="preserve"> The original oil production variable had a skewness of 13.4, and 51% of its values were zero with 99% of the values below 46.2 and a maximum value of 270.9. The logged version has a skewness of 0.86 and a range from</w:t>
      </w:r>
    </w:p>
    <w:p w14:paraId="3A71A522" w14:textId="77777777" w:rsidR="00421207" w:rsidRDefault="00421207">
      <w:pPr>
        <w:pStyle w:val="FootnoteText"/>
      </w:pPr>
      <w:r>
        <w:t>-10.5 to 5.6.</w:t>
      </w:r>
    </w:p>
  </w:footnote>
  <w:footnote w:id="10">
    <w:p w14:paraId="34D8DE06" w14:textId="77777777" w:rsidR="00421207" w:rsidRDefault="00421207">
      <w:pPr>
        <w:pStyle w:val="FootnoteText"/>
      </w:pPr>
      <w:r>
        <w:rPr>
          <w:rStyle w:val="FootnoteReference"/>
        </w:rPr>
        <w:footnoteRef/>
      </w:r>
      <w:r>
        <w:t xml:space="preserve"> An original skewness of 58.5 is corrected to 0.089.</w:t>
      </w:r>
    </w:p>
  </w:footnote>
  <w:footnote w:id="11">
    <w:p w14:paraId="7ECA4965" w14:textId="77777777" w:rsidR="00421207" w:rsidRDefault="00421207">
      <w:pPr>
        <w:pStyle w:val="FootnoteText"/>
      </w:pPr>
      <w:r>
        <w:rPr>
          <w:rStyle w:val="FootnoteReference"/>
        </w:rPr>
        <w:footnoteRef/>
      </w:r>
      <w:r>
        <w:t xml:space="preserve"> A territory is classified as being under colonial rule for all years in which it was a dependency of an empire, including communist empires and the core territories of land-based empires (e.g. Turkey under the Ottomans), but not the main territories of noncontiguous empires such as Spain or Portugal. </w:t>
      </w:r>
    </w:p>
  </w:footnote>
  <w:footnote w:id="12">
    <w:p w14:paraId="18068836" w14:textId="5E5E22C7" w:rsidR="00AE0445" w:rsidRDefault="00AE0445">
      <w:pPr>
        <w:pStyle w:val="FootnoteText"/>
      </w:pPr>
      <w:r>
        <w:rPr>
          <w:rStyle w:val="FootnoteReference"/>
        </w:rPr>
        <w:footnoteRef/>
      </w:r>
      <w:r>
        <w:t xml:space="preserve"> While</w:t>
      </w:r>
      <w:r w:rsidR="00746ED7">
        <w:t xml:space="preserve"> two-way causality is</w:t>
      </w:r>
      <w:r>
        <w:t xml:space="preserve"> plausible, the likelihood of this is significantly reduced when exclusi</w:t>
      </w:r>
      <w:r w:rsidR="00746ED7">
        <w:t>vely studying onset of conflict and limiting the regime change variable to the past three years.</w:t>
      </w:r>
      <w:r>
        <w:t xml:space="preserve"> Also, since the conflict threshold is of relatively low-intensity at only 25 annual deaths, questions of directionality are largely mitigated.</w:t>
      </w:r>
    </w:p>
  </w:footnote>
  <w:footnote w:id="13">
    <w:p w14:paraId="316E90E4" w14:textId="57B2D5C4" w:rsidR="00421207" w:rsidRDefault="00421207" w:rsidP="00337508">
      <w:pPr>
        <w:pStyle w:val="FootnoteText"/>
      </w:pPr>
      <w:r>
        <w:rPr>
          <w:rStyle w:val="FootnoteReference"/>
        </w:rPr>
        <w:footnoteRef/>
      </w:r>
      <w:r w:rsidR="00954719">
        <w:t xml:space="preserve"> Beck, Katz, and Tucker (2003</w:t>
      </w:r>
      <w:r>
        <w:t xml:space="preserve">) argue that time-series cross-sectional data utilizing a binary dependent variable is grouped duration data and a degree of temporal dependence does not necessarily bias the estimation results. They demonstrate that including temporal dummy variables or a temporal spline within the logit specification controls for temporal dependence. As the more parsimonious model, the present study uses a temporal spline on peace years. </w:t>
      </w:r>
    </w:p>
  </w:footnote>
  <w:footnote w:id="14">
    <w:p w14:paraId="79B95590" w14:textId="77777777" w:rsidR="00421207" w:rsidRDefault="00421207" w:rsidP="00AA6E70">
      <w:pPr>
        <w:pStyle w:val="FootnoteText"/>
      </w:pPr>
      <w:r>
        <w:rPr>
          <w:rStyle w:val="FootnoteReference"/>
        </w:rPr>
        <w:footnoteRef/>
      </w:r>
      <w:r>
        <w:t xml:space="preserve"> King and Zeng (2001) argue that in the case of rare events data, biases in probability estimates often result substantive underestimation of event probabilities, and that normal methods of computing probability in logit analysis are problematic given finite (albeit large) samples. Thus, the present study uses Stata software developed to improve the computation of probability estimates.</w:t>
      </w:r>
    </w:p>
  </w:footnote>
  <w:footnote w:id="15">
    <w:p w14:paraId="5614743D" w14:textId="77777777" w:rsidR="00421207" w:rsidRDefault="00421207">
      <w:pPr>
        <w:pStyle w:val="FootnoteText"/>
      </w:pPr>
      <w:r>
        <w:rPr>
          <w:rStyle w:val="FootnoteReference"/>
        </w:rPr>
        <w:footnoteRef/>
      </w:r>
      <w:r>
        <w:t xml:space="preserve"> In order to ensure the absence of significant multicollinearity in the model, the dependent variable is regressed upon the independent variables using the ordinary least squares method. </w:t>
      </w:r>
      <w:r w:rsidRPr="008F02B5">
        <w:t xml:space="preserve">Variance Inflation Factor (VIF) is </w:t>
      </w:r>
      <w:r>
        <w:t xml:space="preserve">then </w:t>
      </w:r>
      <w:r w:rsidRPr="008F02B5">
        <w:t>used t</w:t>
      </w:r>
      <w:r>
        <w:t>o check for the presence of multicollinearity</w:t>
      </w:r>
      <w:r w:rsidRPr="008F02B5">
        <w:t xml:space="preserve">. </w:t>
      </w:r>
      <w:r>
        <w:t>While the time controls (i.e. the 3 cubic splines and number of peace years variables) show the presence of high multicollinearity, this is a theoretical concern and expected as each is a function of the other. Omitting the time controls, a</w:t>
      </w:r>
      <w:r w:rsidRPr="008F02B5">
        <w:t xml:space="preserve">ll VIF scores are less than </w:t>
      </w:r>
      <w:r>
        <w:t>1.74, demonstrating that no serious multicollinearity is present where unintended. These regression results are then discarded, and a separate rare events binary logistic regression test is used for the purposes interpretation and computing probability estimates.</w:t>
      </w:r>
    </w:p>
  </w:footnote>
  <w:footnote w:id="16">
    <w:p w14:paraId="60A8D761" w14:textId="1F5642F1" w:rsidR="0072311B" w:rsidRDefault="0072311B" w:rsidP="0072311B">
      <w:pPr>
        <w:pStyle w:val="FootnoteText"/>
      </w:pPr>
      <w:r>
        <w:rPr>
          <w:rStyle w:val="FootnoteReference"/>
        </w:rPr>
        <w:footnoteRef/>
      </w:r>
      <w:r>
        <w:t xml:space="preserve"> Robustness checks for sever</w:t>
      </w:r>
      <w:r w:rsidR="00954719">
        <w:t xml:space="preserve">al specifications of the model reveal no substantive changes. An exception, however, involves treatment of outlying cases in the </w:t>
      </w:r>
      <w:r w:rsidR="00954719">
        <w:rPr>
          <w:i/>
        </w:rPr>
        <w:t xml:space="preserve">infighting </w:t>
      </w:r>
      <w:r w:rsidR="00954719">
        <w:t xml:space="preserve">model (panel III of Table 2). Since the </w:t>
      </w:r>
      <w:r>
        <w:t>logit coefficients of some of the variables changes more than a c</w:t>
      </w:r>
      <w:r w:rsidR="00954719">
        <w:t>ouple decimal points</w:t>
      </w:r>
      <w:r w:rsidR="00AF68B1">
        <w:t xml:space="preserve">, Table 4 includes the relative risk of significant variables when excluding India in parentheses (moving from maximum to minimum values, while all other variables are held at their means). Further analysis of the computed probabilities of the primary independent variable is </w:t>
      </w:r>
      <w:r w:rsidR="00954719">
        <w:t>provided in</w:t>
      </w:r>
      <w:r w:rsidR="00AF68B1">
        <w:t xml:space="preserve"> </w:t>
      </w:r>
      <w:r w:rsidR="00954719">
        <w:t>Figures 1 and 2.</w:t>
      </w:r>
    </w:p>
  </w:footnote>
  <w:footnote w:id="17">
    <w:p w14:paraId="30AA2784" w14:textId="77777777" w:rsidR="00421207" w:rsidRDefault="00421207" w:rsidP="00265E35">
      <w:pPr>
        <w:pStyle w:val="FootnoteText"/>
      </w:pPr>
      <w:r>
        <w:rPr>
          <w:rStyle w:val="FootnoteReference"/>
        </w:rPr>
        <w:footnoteRef/>
      </w:r>
      <w:r>
        <w:t xml:space="preserve"> The imperial past variable remains significant across a number of specifications of the model, including those which drop India, a country with a mean of 13.5 for number of power sharing groups, and a mean of 81.8% for number of years spent under colonial rule.</w:t>
      </w:r>
    </w:p>
  </w:footnote>
  <w:footnote w:id="18">
    <w:p w14:paraId="0ABAAEAD" w14:textId="77777777" w:rsidR="00421207" w:rsidRDefault="00421207" w:rsidP="00265E35">
      <w:pPr>
        <w:pStyle w:val="FootnoteText"/>
      </w:pPr>
      <w:r>
        <w:rPr>
          <w:rStyle w:val="FootnoteReference"/>
        </w:rPr>
        <w:footnoteRef/>
      </w:r>
      <w:r>
        <w:t xml:space="preserve"> India has a particularly strong influence on the number of included groups variable because it is the only country in the data set with more than 8 groups, and all observations of India include 13 or 14 groups included within the polity. Thus, dropping India brings the range of the number of groups variable from 1-14 to 1-8. Also, because it is assumed that fragmentation in the polity happens exponentially, countries with higher numbers of groups are particularly influential. </w:t>
      </w:r>
    </w:p>
  </w:footnote>
  <w:footnote w:id="19">
    <w:p w14:paraId="36CBCD68" w14:textId="77777777" w:rsidR="00421207" w:rsidRDefault="00421207">
      <w:pPr>
        <w:pStyle w:val="FootnoteText"/>
      </w:pPr>
      <w:r>
        <w:rPr>
          <w:rStyle w:val="FootnoteReference"/>
        </w:rPr>
        <w:footnoteRef/>
      </w:r>
      <w:r>
        <w:t xml:space="preserve"> In order to test for influential outliers in the rebellion model, standard onset of conflict by excluded groups is regressed logistically on each of the independent variables in order to graph the standardized residuals against the excluded population variable. Delta-Beta influence statistic is then used to determine that Lebanon is the only influential outlier in the primary dependent variable. Dropping Lebanon from the rare events logit model and recalculating the relative risk results in a less than 2 percent change in the likelihood of conflict when moving from the minimum to maximum values of the excluded population variable when all other variables are held at their means. Additionally, all variables retain their significance levels as computed in the rare events logit including Lebanon.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232182"/>
      <w:docPartObj>
        <w:docPartGallery w:val="Page Numbers (Top of Page)"/>
        <w:docPartUnique/>
      </w:docPartObj>
    </w:sdtPr>
    <w:sdtEndPr>
      <w:rPr>
        <w:noProof/>
      </w:rPr>
    </w:sdtEndPr>
    <w:sdtContent>
      <w:p w14:paraId="567F111E" w14:textId="77777777" w:rsidR="00421207" w:rsidRDefault="00421207">
        <w:pPr>
          <w:pStyle w:val="Header"/>
          <w:jc w:val="right"/>
        </w:pPr>
        <w:r>
          <w:fldChar w:fldCharType="begin"/>
        </w:r>
        <w:r>
          <w:instrText xml:space="preserve"> PAGE   \* MERGEFORMAT </w:instrText>
        </w:r>
        <w:r>
          <w:fldChar w:fldCharType="separate"/>
        </w:r>
        <w:r w:rsidR="003E403B">
          <w:rPr>
            <w:noProof/>
          </w:rPr>
          <w:t>1</w:t>
        </w:r>
        <w:r>
          <w:rPr>
            <w:noProof/>
          </w:rPr>
          <w:fldChar w:fldCharType="end"/>
        </w:r>
      </w:p>
    </w:sdtContent>
  </w:sdt>
  <w:p w14:paraId="63C09C84" w14:textId="77777777" w:rsidR="00421207" w:rsidRDefault="00421207" w:rsidP="00CF3CED">
    <w:pPr>
      <w:pStyle w:val="Header"/>
      <w:tabs>
        <w:tab w:val="clear" w:pos="4680"/>
        <w:tab w:val="clear" w:pos="9360"/>
        <w:tab w:val="left" w:pos="63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1349"/>
    <w:multiLevelType w:val="hybridMultilevel"/>
    <w:tmpl w:val="19DEE392"/>
    <w:lvl w:ilvl="0" w:tplc="ECDE8F36">
      <w:start w:val="1"/>
      <w:numFmt w:val="bullet"/>
      <w:lvlText w:val="•"/>
      <w:lvlJc w:val="left"/>
      <w:pPr>
        <w:tabs>
          <w:tab w:val="num" w:pos="720"/>
        </w:tabs>
        <w:ind w:left="720" w:hanging="360"/>
      </w:pPr>
      <w:rPr>
        <w:rFonts w:ascii="Arial" w:hAnsi="Arial" w:hint="default"/>
      </w:rPr>
    </w:lvl>
    <w:lvl w:ilvl="1" w:tplc="880E08C4" w:tentative="1">
      <w:start w:val="1"/>
      <w:numFmt w:val="bullet"/>
      <w:lvlText w:val="•"/>
      <w:lvlJc w:val="left"/>
      <w:pPr>
        <w:tabs>
          <w:tab w:val="num" w:pos="1440"/>
        </w:tabs>
        <w:ind w:left="1440" w:hanging="360"/>
      </w:pPr>
      <w:rPr>
        <w:rFonts w:ascii="Arial" w:hAnsi="Arial" w:hint="default"/>
      </w:rPr>
    </w:lvl>
    <w:lvl w:ilvl="2" w:tplc="B41C2568" w:tentative="1">
      <w:start w:val="1"/>
      <w:numFmt w:val="bullet"/>
      <w:lvlText w:val="•"/>
      <w:lvlJc w:val="left"/>
      <w:pPr>
        <w:tabs>
          <w:tab w:val="num" w:pos="2160"/>
        </w:tabs>
        <w:ind w:left="2160" w:hanging="360"/>
      </w:pPr>
      <w:rPr>
        <w:rFonts w:ascii="Arial" w:hAnsi="Arial" w:hint="default"/>
      </w:rPr>
    </w:lvl>
    <w:lvl w:ilvl="3" w:tplc="634856A6" w:tentative="1">
      <w:start w:val="1"/>
      <w:numFmt w:val="bullet"/>
      <w:lvlText w:val="•"/>
      <w:lvlJc w:val="left"/>
      <w:pPr>
        <w:tabs>
          <w:tab w:val="num" w:pos="2880"/>
        </w:tabs>
        <w:ind w:left="2880" w:hanging="360"/>
      </w:pPr>
      <w:rPr>
        <w:rFonts w:ascii="Arial" w:hAnsi="Arial" w:hint="default"/>
      </w:rPr>
    </w:lvl>
    <w:lvl w:ilvl="4" w:tplc="8A1A9402" w:tentative="1">
      <w:start w:val="1"/>
      <w:numFmt w:val="bullet"/>
      <w:lvlText w:val="•"/>
      <w:lvlJc w:val="left"/>
      <w:pPr>
        <w:tabs>
          <w:tab w:val="num" w:pos="3600"/>
        </w:tabs>
        <w:ind w:left="3600" w:hanging="360"/>
      </w:pPr>
      <w:rPr>
        <w:rFonts w:ascii="Arial" w:hAnsi="Arial" w:hint="default"/>
      </w:rPr>
    </w:lvl>
    <w:lvl w:ilvl="5" w:tplc="9F3409C6" w:tentative="1">
      <w:start w:val="1"/>
      <w:numFmt w:val="bullet"/>
      <w:lvlText w:val="•"/>
      <w:lvlJc w:val="left"/>
      <w:pPr>
        <w:tabs>
          <w:tab w:val="num" w:pos="4320"/>
        </w:tabs>
        <w:ind w:left="4320" w:hanging="360"/>
      </w:pPr>
      <w:rPr>
        <w:rFonts w:ascii="Arial" w:hAnsi="Arial" w:hint="default"/>
      </w:rPr>
    </w:lvl>
    <w:lvl w:ilvl="6" w:tplc="53D69FEC" w:tentative="1">
      <w:start w:val="1"/>
      <w:numFmt w:val="bullet"/>
      <w:lvlText w:val="•"/>
      <w:lvlJc w:val="left"/>
      <w:pPr>
        <w:tabs>
          <w:tab w:val="num" w:pos="5040"/>
        </w:tabs>
        <w:ind w:left="5040" w:hanging="360"/>
      </w:pPr>
      <w:rPr>
        <w:rFonts w:ascii="Arial" w:hAnsi="Arial" w:hint="default"/>
      </w:rPr>
    </w:lvl>
    <w:lvl w:ilvl="7" w:tplc="8AAA27BA" w:tentative="1">
      <w:start w:val="1"/>
      <w:numFmt w:val="bullet"/>
      <w:lvlText w:val="•"/>
      <w:lvlJc w:val="left"/>
      <w:pPr>
        <w:tabs>
          <w:tab w:val="num" w:pos="5760"/>
        </w:tabs>
        <w:ind w:left="5760" w:hanging="360"/>
      </w:pPr>
      <w:rPr>
        <w:rFonts w:ascii="Arial" w:hAnsi="Arial" w:hint="default"/>
      </w:rPr>
    </w:lvl>
    <w:lvl w:ilvl="8" w:tplc="87E2568A" w:tentative="1">
      <w:start w:val="1"/>
      <w:numFmt w:val="bullet"/>
      <w:lvlText w:val="•"/>
      <w:lvlJc w:val="left"/>
      <w:pPr>
        <w:tabs>
          <w:tab w:val="num" w:pos="6480"/>
        </w:tabs>
        <w:ind w:left="6480" w:hanging="360"/>
      </w:pPr>
      <w:rPr>
        <w:rFonts w:ascii="Arial" w:hAnsi="Arial" w:hint="default"/>
      </w:rPr>
    </w:lvl>
  </w:abstractNum>
  <w:abstractNum w:abstractNumId="1">
    <w:nsid w:val="1956398E"/>
    <w:multiLevelType w:val="hybridMultilevel"/>
    <w:tmpl w:val="67A6E808"/>
    <w:lvl w:ilvl="0" w:tplc="00D40198">
      <w:numFmt w:val="bullet"/>
      <w:lvlText w:val=""/>
      <w:lvlJc w:val="left"/>
      <w:pPr>
        <w:ind w:left="720" w:hanging="360"/>
      </w:pPr>
      <w:rPr>
        <w:rFonts w:ascii="Wingdings" w:eastAsiaTheme="minorHAnsi" w:hAnsi="Wingdings" w:cs="TimesNewRomanP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03A16"/>
    <w:multiLevelType w:val="hybridMultilevel"/>
    <w:tmpl w:val="3816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5287F"/>
    <w:multiLevelType w:val="hybridMultilevel"/>
    <w:tmpl w:val="B55C1582"/>
    <w:lvl w:ilvl="0" w:tplc="994A130A">
      <w:start w:val="1"/>
      <w:numFmt w:val="bullet"/>
      <w:lvlText w:val="•"/>
      <w:lvlJc w:val="left"/>
      <w:pPr>
        <w:tabs>
          <w:tab w:val="num" w:pos="720"/>
        </w:tabs>
        <w:ind w:left="720" w:hanging="360"/>
      </w:pPr>
      <w:rPr>
        <w:rFonts w:ascii="Arial" w:hAnsi="Arial" w:hint="default"/>
      </w:rPr>
    </w:lvl>
    <w:lvl w:ilvl="1" w:tplc="E338718A" w:tentative="1">
      <w:start w:val="1"/>
      <w:numFmt w:val="bullet"/>
      <w:lvlText w:val="•"/>
      <w:lvlJc w:val="left"/>
      <w:pPr>
        <w:tabs>
          <w:tab w:val="num" w:pos="1440"/>
        </w:tabs>
        <w:ind w:left="1440" w:hanging="360"/>
      </w:pPr>
      <w:rPr>
        <w:rFonts w:ascii="Arial" w:hAnsi="Arial" w:hint="default"/>
      </w:rPr>
    </w:lvl>
    <w:lvl w:ilvl="2" w:tplc="3600134C" w:tentative="1">
      <w:start w:val="1"/>
      <w:numFmt w:val="bullet"/>
      <w:lvlText w:val="•"/>
      <w:lvlJc w:val="left"/>
      <w:pPr>
        <w:tabs>
          <w:tab w:val="num" w:pos="2160"/>
        </w:tabs>
        <w:ind w:left="2160" w:hanging="360"/>
      </w:pPr>
      <w:rPr>
        <w:rFonts w:ascii="Arial" w:hAnsi="Arial" w:hint="default"/>
      </w:rPr>
    </w:lvl>
    <w:lvl w:ilvl="3" w:tplc="CBEC9D3A" w:tentative="1">
      <w:start w:val="1"/>
      <w:numFmt w:val="bullet"/>
      <w:lvlText w:val="•"/>
      <w:lvlJc w:val="left"/>
      <w:pPr>
        <w:tabs>
          <w:tab w:val="num" w:pos="2880"/>
        </w:tabs>
        <w:ind w:left="2880" w:hanging="360"/>
      </w:pPr>
      <w:rPr>
        <w:rFonts w:ascii="Arial" w:hAnsi="Arial" w:hint="default"/>
      </w:rPr>
    </w:lvl>
    <w:lvl w:ilvl="4" w:tplc="65BC334C" w:tentative="1">
      <w:start w:val="1"/>
      <w:numFmt w:val="bullet"/>
      <w:lvlText w:val="•"/>
      <w:lvlJc w:val="left"/>
      <w:pPr>
        <w:tabs>
          <w:tab w:val="num" w:pos="3600"/>
        </w:tabs>
        <w:ind w:left="3600" w:hanging="360"/>
      </w:pPr>
      <w:rPr>
        <w:rFonts w:ascii="Arial" w:hAnsi="Arial" w:hint="default"/>
      </w:rPr>
    </w:lvl>
    <w:lvl w:ilvl="5" w:tplc="501A4CC0" w:tentative="1">
      <w:start w:val="1"/>
      <w:numFmt w:val="bullet"/>
      <w:lvlText w:val="•"/>
      <w:lvlJc w:val="left"/>
      <w:pPr>
        <w:tabs>
          <w:tab w:val="num" w:pos="4320"/>
        </w:tabs>
        <w:ind w:left="4320" w:hanging="360"/>
      </w:pPr>
      <w:rPr>
        <w:rFonts w:ascii="Arial" w:hAnsi="Arial" w:hint="default"/>
      </w:rPr>
    </w:lvl>
    <w:lvl w:ilvl="6" w:tplc="F612D77E" w:tentative="1">
      <w:start w:val="1"/>
      <w:numFmt w:val="bullet"/>
      <w:lvlText w:val="•"/>
      <w:lvlJc w:val="left"/>
      <w:pPr>
        <w:tabs>
          <w:tab w:val="num" w:pos="5040"/>
        </w:tabs>
        <w:ind w:left="5040" w:hanging="360"/>
      </w:pPr>
      <w:rPr>
        <w:rFonts w:ascii="Arial" w:hAnsi="Arial" w:hint="default"/>
      </w:rPr>
    </w:lvl>
    <w:lvl w:ilvl="7" w:tplc="742412E2" w:tentative="1">
      <w:start w:val="1"/>
      <w:numFmt w:val="bullet"/>
      <w:lvlText w:val="•"/>
      <w:lvlJc w:val="left"/>
      <w:pPr>
        <w:tabs>
          <w:tab w:val="num" w:pos="5760"/>
        </w:tabs>
        <w:ind w:left="5760" w:hanging="360"/>
      </w:pPr>
      <w:rPr>
        <w:rFonts w:ascii="Arial" w:hAnsi="Arial" w:hint="default"/>
      </w:rPr>
    </w:lvl>
    <w:lvl w:ilvl="8" w:tplc="B28E6838" w:tentative="1">
      <w:start w:val="1"/>
      <w:numFmt w:val="bullet"/>
      <w:lvlText w:val="•"/>
      <w:lvlJc w:val="left"/>
      <w:pPr>
        <w:tabs>
          <w:tab w:val="num" w:pos="6480"/>
        </w:tabs>
        <w:ind w:left="6480" w:hanging="360"/>
      </w:pPr>
      <w:rPr>
        <w:rFonts w:ascii="Arial" w:hAnsi="Arial" w:hint="default"/>
      </w:rPr>
    </w:lvl>
  </w:abstractNum>
  <w:abstractNum w:abstractNumId="4">
    <w:nsid w:val="345739E9"/>
    <w:multiLevelType w:val="hybridMultilevel"/>
    <w:tmpl w:val="D772DFE0"/>
    <w:lvl w:ilvl="0" w:tplc="53D6B4CC">
      <w:start w:val="1"/>
      <w:numFmt w:val="bullet"/>
      <w:lvlText w:val="•"/>
      <w:lvlJc w:val="left"/>
      <w:pPr>
        <w:tabs>
          <w:tab w:val="num" w:pos="720"/>
        </w:tabs>
        <w:ind w:left="720" w:hanging="360"/>
      </w:pPr>
      <w:rPr>
        <w:rFonts w:ascii="Arial" w:hAnsi="Arial" w:hint="default"/>
      </w:rPr>
    </w:lvl>
    <w:lvl w:ilvl="1" w:tplc="7FD0DE6C" w:tentative="1">
      <w:start w:val="1"/>
      <w:numFmt w:val="bullet"/>
      <w:lvlText w:val="•"/>
      <w:lvlJc w:val="left"/>
      <w:pPr>
        <w:tabs>
          <w:tab w:val="num" w:pos="1440"/>
        </w:tabs>
        <w:ind w:left="1440" w:hanging="360"/>
      </w:pPr>
      <w:rPr>
        <w:rFonts w:ascii="Arial" w:hAnsi="Arial" w:hint="default"/>
      </w:rPr>
    </w:lvl>
    <w:lvl w:ilvl="2" w:tplc="72582356" w:tentative="1">
      <w:start w:val="1"/>
      <w:numFmt w:val="bullet"/>
      <w:lvlText w:val="•"/>
      <w:lvlJc w:val="left"/>
      <w:pPr>
        <w:tabs>
          <w:tab w:val="num" w:pos="2160"/>
        </w:tabs>
        <w:ind w:left="2160" w:hanging="360"/>
      </w:pPr>
      <w:rPr>
        <w:rFonts w:ascii="Arial" w:hAnsi="Arial" w:hint="default"/>
      </w:rPr>
    </w:lvl>
    <w:lvl w:ilvl="3" w:tplc="12D03546" w:tentative="1">
      <w:start w:val="1"/>
      <w:numFmt w:val="bullet"/>
      <w:lvlText w:val="•"/>
      <w:lvlJc w:val="left"/>
      <w:pPr>
        <w:tabs>
          <w:tab w:val="num" w:pos="2880"/>
        </w:tabs>
        <w:ind w:left="2880" w:hanging="360"/>
      </w:pPr>
      <w:rPr>
        <w:rFonts w:ascii="Arial" w:hAnsi="Arial" w:hint="default"/>
      </w:rPr>
    </w:lvl>
    <w:lvl w:ilvl="4" w:tplc="0C9AF242" w:tentative="1">
      <w:start w:val="1"/>
      <w:numFmt w:val="bullet"/>
      <w:lvlText w:val="•"/>
      <w:lvlJc w:val="left"/>
      <w:pPr>
        <w:tabs>
          <w:tab w:val="num" w:pos="3600"/>
        </w:tabs>
        <w:ind w:left="3600" w:hanging="360"/>
      </w:pPr>
      <w:rPr>
        <w:rFonts w:ascii="Arial" w:hAnsi="Arial" w:hint="default"/>
      </w:rPr>
    </w:lvl>
    <w:lvl w:ilvl="5" w:tplc="4F667226" w:tentative="1">
      <w:start w:val="1"/>
      <w:numFmt w:val="bullet"/>
      <w:lvlText w:val="•"/>
      <w:lvlJc w:val="left"/>
      <w:pPr>
        <w:tabs>
          <w:tab w:val="num" w:pos="4320"/>
        </w:tabs>
        <w:ind w:left="4320" w:hanging="360"/>
      </w:pPr>
      <w:rPr>
        <w:rFonts w:ascii="Arial" w:hAnsi="Arial" w:hint="default"/>
      </w:rPr>
    </w:lvl>
    <w:lvl w:ilvl="6" w:tplc="76947484" w:tentative="1">
      <w:start w:val="1"/>
      <w:numFmt w:val="bullet"/>
      <w:lvlText w:val="•"/>
      <w:lvlJc w:val="left"/>
      <w:pPr>
        <w:tabs>
          <w:tab w:val="num" w:pos="5040"/>
        </w:tabs>
        <w:ind w:left="5040" w:hanging="360"/>
      </w:pPr>
      <w:rPr>
        <w:rFonts w:ascii="Arial" w:hAnsi="Arial" w:hint="default"/>
      </w:rPr>
    </w:lvl>
    <w:lvl w:ilvl="7" w:tplc="5D9EF12E" w:tentative="1">
      <w:start w:val="1"/>
      <w:numFmt w:val="bullet"/>
      <w:lvlText w:val="•"/>
      <w:lvlJc w:val="left"/>
      <w:pPr>
        <w:tabs>
          <w:tab w:val="num" w:pos="5760"/>
        </w:tabs>
        <w:ind w:left="5760" w:hanging="360"/>
      </w:pPr>
      <w:rPr>
        <w:rFonts w:ascii="Arial" w:hAnsi="Arial" w:hint="default"/>
      </w:rPr>
    </w:lvl>
    <w:lvl w:ilvl="8" w:tplc="F1087B8E" w:tentative="1">
      <w:start w:val="1"/>
      <w:numFmt w:val="bullet"/>
      <w:lvlText w:val="•"/>
      <w:lvlJc w:val="left"/>
      <w:pPr>
        <w:tabs>
          <w:tab w:val="num" w:pos="6480"/>
        </w:tabs>
        <w:ind w:left="6480" w:hanging="360"/>
      </w:pPr>
      <w:rPr>
        <w:rFonts w:ascii="Arial" w:hAnsi="Arial" w:hint="default"/>
      </w:rPr>
    </w:lvl>
  </w:abstractNum>
  <w:abstractNum w:abstractNumId="5">
    <w:nsid w:val="3D005FB0"/>
    <w:multiLevelType w:val="hybridMultilevel"/>
    <w:tmpl w:val="545243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054E9"/>
    <w:multiLevelType w:val="hybridMultilevel"/>
    <w:tmpl w:val="70281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E12702"/>
    <w:multiLevelType w:val="hybridMultilevel"/>
    <w:tmpl w:val="542EEF68"/>
    <w:lvl w:ilvl="0" w:tplc="CABAC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E7E37"/>
    <w:multiLevelType w:val="hybridMultilevel"/>
    <w:tmpl w:val="9DA2C0C0"/>
    <w:lvl w:ilvl="0" w:tplc="17206D84">
      <w:start w:val="1"/>
      <w:numFmt w:val="bullet"/>
      <w:lvlText w:val="•"/>
      <w:lvlJc w:val="left"/>
      <w:pPr>
        <w:tabs>
          <w:tab w:val="num" w:pos="720"/>
        </w:tabs>
        <w:ind w:left="720" w:hanging="360"/>
      </w:pPr>
      <w:rPr>
        <w:rFonts w:ascii="Arial" w:hAnsi="Arial" w:hint="default"/>
      </w:rPr>
    </w:lvl>
    <w:lvl w:ilvl="1" w:tplc="C1C437A4" w:tentative="1">
      <w:start w:val="1"/>
      <w:numFmt w:val="bullet"/>
      <w:lvlText w:val="•"/>
      <w:lvlJc w:val="left"/>
      <w:pPr>
        <w:tabs>
          <w:tab w:val="num" w:pos="1440"/>
        </w:tabs>
        <w:ind w:left="1440" w:hanging="360"/>
      </w:pPr>
      <w:rPr>
        <w:rFonts w:ascii="Arial" w:hAnsi="Arial" w:hint="default"/>
      </w:rPr>
    </w:lvl>
    <w:lvl w:ilvl="2" w:tplc="E8E2BB0C" w:tentative="1">
      <w:start w:val="1"/>
      <w:numFmt w:val="bullet"/>
      <w:lvlText w:val="•"/>
      <w:lvlJc w:val="left"/>
      <w:pPr>
        <w:tabs>
          <w:tab w:val="num" w:pos="2160"/>
        </w:tabs>
        <w:ind w:left="2160" w:hanging="360"/>
      </w:pPr>
      <w:rPr>
        <w:rFonts w:ascii="Arial" w:hAnsi="Arial" w:hint="default"/>
      </w:rPr>
    </w:lvl>
    <w:lvl w:ilvl="3" w:tplc="320E9244" w:tentative="1">
      <w:start w:val="1"/>
      <w:numFmt w:val="bullet"/>
      <w:lvlText w:val="•"/>
      <w:lvlJc w:val="left"/>
      <w:pPr>
        <w:tabs>
          <w:tab w:val="num" w:pos="2880"/>
        </w:tabs>
        <w:ind w:left="2880" w:hanging="360"/>
      </w:pPr>
      <w:rPr>
        <w:rFonts w:ascii="Arial" w:hAnsi="Arial" w:hint="default"/>
      </w:rPr>
    </w:lvl>
    <w:lvl w:ilvl="4" w:tplc="ABD450FA" w:tentative="1">
      <w:start w:val="1"/>
      <w:numFmt w:val="bullet"/>
      <w:lvlText w:val="•"/>
      <w:lvlJc w:val="left"/>
      <w:pPr>
        <w:tabs>
          <w:tab w:val="num" w:pos="3600"/>
        </w:tabs>
        <w:ind w:left="3600" w:hanging="360"/>
      </w:pPr>
      <w:rPr>
        <w:rFonts w:ascii="Arial" w:hAnsi="Arial" w:hint="default"/>
      </w:rPr>
    </w:lvl>
    <w:lvl w:ilvl="5" w:tplc="E20ED972" w:tentative="1">
      <w:start w:val="1"/>
      <w:numFmt w:val="bullet"/>
      <w:lvlText w:val="•"/>
      <w:lvlJc w:val="left"/>
      <w:pPr>
        <w:tabs>
          <w:tab w:val="num" w:pos="4320"/>
        </w:tabs>
        <w:ind w:left="4320" w:hanging="360"/>
      </w:pPr>
      <w:rPr>
        <w:rFonts w:ascii="Arial" w:hAnsi="Arial" w:hint="default"/>
      </w:rPr>
    </w:lvl>
    <w:lvl w:ilvl="6" w:tplc="7B2CD322" w:tentative="1">
      <w:start w:val="1"/>
      <w:numFmt w:val="bullet"/>
      <w:lvlText w:val="•"/>
      <w:lvlJc w:val="left"/>
      <w:pPr>
        <w:tabs>
          <w:tab w:val="num" w:pos="5040"/>
        </w:tabs>
        <w:ind w:left="5040" w:hanging="360"/>
      </w:pPr>
      <w:rPr>
        <w:rFonts w:ascii="Arial" w:hAnsi="Arial" w:hint="default"/>
      </w:rPr>
    </w:lvl>
    <w:lvl w:ilvl="7" w:tplc="7A00AFE4" w:tentative="1">
      <w:start w:val="1"/>
      <w:numFmt w:val="bullet"/>
      <w:lvlText w:val="•"/>
      <w:lvlJc w:val="left"/>
      <w:pPr>
        <w:tabs>
          <w:tab w:val="num" w:pos="5760"/>
        </w:tabs>
        <w:ind w:left="5760" w:hanging="360"/>
      </w:pPr>
      <w:rPr>
        <w:rFonts w:ascii="Arial" w:hAnsi="Arial" w:hint="default"/>
      </w:rPr>
    </w:lvl>
    <w:lvl w:ilvl="8" w:tplc="48CAED1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
  </w:num>
  <w:num w:numId="4">
    <w:abstractNumId w:val="4"/>
  </w:num>
  <w:num w:numId="5">
    <w:abstractNumId w:val="3"/>
  </w:num>
  <w:num w:numId="6">
    <w:abstractNumId w:val="8"/>
  </w:num>
  <w:num w:numId="7">
    <w:abstractNumId w:val="0"/>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field, Nick">
    <w15:presenceInfo w15:providerId="AD" w15:userId="S-1-5-21-1275210071-1715567821-682003330-41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17"/>
    <w:rsid w:val="00001C39"/>
    <w:rsid w:val="00010651"/>
    <w:rsid w:val="000128F6"/>
    <w:rsid w:val="00047B52"/>
    <w:rsid w:val="00053609"/>
    <w:rsid w:val="000537B6"/>
    <w:rsid w:val="00064C30"/>
    <w:rsid w:val="000772E0"/>
    <w:rsid w:val="000829D9"/>
    <w:rsid w:val="00083CEF"/>
    <w:rsid w:val="000872E2"/>
    <w:rsid w:val="00093468"/>
    <w:rsid w:val="000A430A"/>
    <w:rsid w:val="000A4FE7"/>
    <w:rsid w:val="000B2F68"/>
    <w:rsid w:val="000B6A22"/>
    <w:rsid w:val="000C3C45"/>
    <w:rsid w:val="000C5014"/>
    <w:rsid w:val="000C51CA"/>
    <w:rsid w:val="000C6CF6"/>
    <w:rsid w:val="000D61EB"/>
    <w:rsid w:val="000D7338"/>
    <w:rsid w:val="000E55CF"/>
    <w:rsid w:val="000E785A"/>
    <w:rsid w:val="000F205F"/>
    <w:rsid w:val="0010564E"/>
    <w:rsid w:val="001157E4"/>
    <w:rsid w:val="00121685"/>
    <w:rsid w:val="00126105"/>
    <w:rsid w:val="001268E7"/>
    <w:rsid w:val="00155A02"/>
    <w:rsid w:val="0016530E"/>
    <w:rsid w:val="0016666F"/>
    <w:rsid w:val="001713EC"/>
    <w:rsid w:val="001716F3"/>
    <w:rsid w:val="00172C7B"/>
    <w:rsid w:val="00175361"/>
    <w:rsid w:val="001779DD"/>
    <w:rsid w:val="00181055"/>
    <w:rsid w:val="00181CB8"/>
    <w:rsid w:val="00193791"/>
    <w:rsid w:val="001958E3"/>
    <w:rsid w:val="001A4E4B"/>
    <w:rsid w:val="001A6EB8"/>
    <w:rsid w:val="001B1A98"/>
    <w:rsid w:val="001C0B56"/>
    <w:rsid w:val="001C1E20"/>
    <w:rsid w:val="001C39DC"/>
    <w:rsid w:val="001C4A81"/>
    <w:rsid w:val="001C6F62"/>
    <w:rsid w:val="001D0718"/>
    <w:rsid w:val="001D3B5F"/>
    <w:rsid w:val="001E1D7D"/>
    <w:rsid w:val="001E417C"/>
    <w:rsid w:val="001F3226"/>
    <w:rsid w:val="00203373"/>
    <w:rsid w:val="00206747"/>
    <w:rsid w:val="0021427C"/>
    <w:rsid w:val="00215006"/>
    <w:rsid w:val="00223D39"/>
    <w:rsid w:val="002456FE"/>
    <w:rsid w:val="00256F6B"/>
    <w:rsid w:val="002626AD"/>
    <w:rsid w:val="00265E35"/>
    <w:rsid w:val="002A1364"/>
    <w:rsid w:val="002A1893"/>
    <w:rsid w:val="002B12E1"/>
    <w:rsid w:val="002B5099"/>
    <w:rsid w:val="002C56B7"/>
    <w:rsid w:val="002D4153"/>
    <w:rsid w:val="002D6172"/>
    <w:rsid w:val="002E5EA4"/>
    <w:rsid w:val="002E6BA1"/>
    <w:rsid w:val="002F5257"/>
    <w:rsid w:val="003010CB"/>
    <w:rsid w:val="0030696F"/>
    <w:rsid w:val="00310BFE"/>
    <w:rsid w:val="00310CC0"/>
    <w:rsid w:val="0031764C"/>
    <w:rsid w:val="00324C89"/>
    <w:rsid w:val="00337508"/>
    <w:rsid w:val="003376F6"/>
    <w:rsid w:val="00344B82"/>
    <w:rsid w:val="003472D9"/>
    <w:rsid w:val="00347CFB"/>
    <w:rsid w:val="00351623"/>
    <w:rsid w:val="00355657"/>
    <w:rsid w:val="003558F9"/>
    <w:rsid w:val="00355A3F"/>
    <w:rsid w:val="00357AD7"/>
    <w:rsid w:val="00361B0F"/>
    <w:rsid w:val="00371C7D"/>
    <w:rsid w:val="00371EFF"/>
    <w:rsid w:val="00376607"/>
    <w:rsid w:val="003773A9"/>
    <w:rsid w:val="00384A81"/>
    <w:rsid w:val="003A5764"/>
    <w:rsid w:val="003A7DD8"/>
    <w:rsid w:val="003B5111"/>
    <w:rsid w:val="003C3F12"/>
    <w:rsid w:val="003C7CBF"/>
    <w:rsid w:val="003D04A7"/>
    <w:rsid w:val="003D28F1"/>
    <w:rsid w:val="003E1DD2"/>
    <w:rsid w:val="003E403B"/>
    <w:rsid w:val="003F2878"/>
    <w:rsid w:val="003F3DDD"/>
    <w:rsid w:val="003F624A"/>
    <w:rsid w:val="00413D65"/>
    <w:rsid w:val="00421207"/>
    <w:rsid w:val="00422305"/>
    <w:rsid w:val="00425B50"/>
    <w:rsid w:val="00444C17"/>
    <w:rsid w:val="00452E54"/>
    <w:rsid w:val="00462FFF"/>
    <w:rsid w:val="0046632B"/>
    <w:rsid w:val="00466E33"/>
    <w:rsid w:val="00470741"/>
    <w:rsid w:val="00474917"/>
    <w:rsid w:val="00493BAA"/>
    <w:rsid w:val="00496AE2"/>
    <w:rsid w:val="004A76C7"/>
    <w:rsid w:val="004C63E0"/>
    <w:rsid w:val="004D0E1D"/>
    <w:rsid w:val="004D5F64"/>
    <w:rsid w:val="004F0963"/>
    <w:rsid w:val="004F1AF3"/>
    <w:rsid w:val="00525621"/>
    <w:rsid w:val="00525700"/>
    <w:rsid w:val="00530175"/>
    <w:rsid w:val="0053309F"/>
    <w:rsid w:val="00533E53"/>
    <w:rsid w:val="005352A6"/>
    <w:rsid w:val="0054558D"/>
    <w:rsid w:val="005571FF"/>
    <w:rsid w:val="005578C4"/>
    <w:rsid w:val="00583245"/>
    <w:rsid w:val="0058625B"/>
    <w:rsid w:val="00597265"/>
    <w:rsid w:val="005A3D33"/>
    <w:rsid w:val="005A5DD6"/>
    <w:rsid w:val="005A6A5D"/>
    <w:rsid w:val="005A788C"/>
    <w:rsid w:val="005B4424"/>
    <w:rsid w:val="005C34A2"/>
    <w:rsid w:val="005C35D5"/>
    <w:rsid w:val="005E0762"/>
    <w:rsid w:val="005F481C"/>
    <w:rsid w:val="005F7B3C"/>
    <w:rsid w:val="006062C4"/>
    <w:rsid w:val="006076EB"/>
    <w:rsid w:val="00622F49"/>
    <w:rsid w:val="00624B92"/>
    <w:rsid w:val="0063272F"/>
    <w:rsid w:val="00651797"/>
    <w:rsid w:val="00652D6F"/>
    <w:rsid w:val="00687AB7"/>
    <w:rsid w:val="006915BC"/>
    <w:rsid w:val="0069696E"/>
    <w:rsid w:val="006A0507"/>
    <w:rsid w:val="006A4E55"/>
    <w:rsid w:val="006B6DE8"/>
    <w:rsid w:val="006C060D"/>
    <w:rsid w:val="006C5654"/>
    <w:rsid w:val="006D0EFB"/>
    <w:rsid w:val="006D773D"/>
    <w:rsid w:val="006E4BCB"/>
    <w:rsid w:val="006F106D"/>
    <w:rsid w:val="006F4446"/>
    <w:rsid w:val="00704F3D"/>
    <w:rsid w:val="0072311B"/>
    <w:rsid w:val="00723136"/>
    <w:rsid w:val="00736A00"/>
    <w:rsid w:val="00740854"/>
    <w:rsid w:val="007441C2"/>
    <w:rsid w:val="00746ED7"/>
    <w:rsid w:val="007618BF"/>
    <w:rsid w:val="00764D64"/>
    <w:rsid w:val="007653C8"/>
    <w:rsid w:val="00781BE8"/>
    <w:rsid w:val="00781EC3"/>
    <w:rsid w:val="007A1628"/>
    <w:rsid w:val="007D01DB"/>
    <w:rsid w:val="007D29ED"/>
    <w:rsid w:val="007E05B3"/>
    <w:rsid w:val="007E219E"/>
    <w:rsid w:val="007E5B3E"/>
    <w:rsid w:val="007F7972"/>
    <w:rsid w:val="00801B0B"/>
    <w:rsid w:val="00803C98"/>
    <w:rsid w:val="008137A7"/>
    <w:rsid w:val="00814DA1"/>
    <w:rsid w:val="008161E7"/>
    <w:rsid w:val="008301E1"/>
    <w:rsid w:val="008435AA"/>
    <w:rsid w:val="00851DF2"/>
    <w:rsid w:val="00856E8E"/>
    <w:rsid w:val="008601E9"/>
    <w:rsid w:val="00865256"/>
    <w:rsid w:val="008652B9"/>
    <w:rsid w:val="00866D4A"/>
    <w:rsid w:val="008712F4"/>
    <w:rsid w:val="00876542"/>
    <w:rsid w:val="0088760C"/>
    <w:rsid w:val="00890A88"/>
    <w:rsid w:val="00895274"/>
    <w:rsid w:val="00896172"/>
    <w:rsid w:val="008A10E6"/>
    <w:rsid w:val="008B2F45"/>
    <w:rsid w:val="008C1459"/>
    <w:rsid w:val="008D1231"/>
    <w:rsid w:val="008D2DF8"/>
    <w:rsid w:val="008D6739"/>
    <w:rsid w:val="008E131A"/>
    <w:rsid w:val="008E744C"/>
    <w:rsid w:val="009010E7"/>
    <w:rsid w:val="00916258"/>
    <w:rsid w:val="00940B49"/>
    <w:rsid w:val="00943583"/>
    <w:rsid w:val="00947C1A"/>
    <w:rsid w:val="00954719"/>
    <w:rsid w:val="00954AF3"/>
    <w:rsid w:val="00961D1B"/>
    <w:rsid w:val="00962E5D"/>
    <w:rsid w:val="00976C74"/>
    <w:rsid w:val="009771A7"/>
    <w:rsid w:val="00980C8E"/>
    <w:rsid w:val="00985426"/>
    <w:rsid w:val="00990797"/>
    <w:rsid w:val="009B0650"/>
    <w:rsid w:val="009C0CF0"/>
    <w:rsid w:val="009C435D"/>
    <w:rsid w:val="009C693A"/>
    <w:rsid w:val="009D44B3"/>
    <w:rsid w:val="009E22F9"/>
    <w:rsid w:val="009E27A9"/>
    <w:rsid w:val="009E4210"/>
    <w:rsid w:val="009F17EB"/>
    <w:rsid w:val="009F1DFE"/>
    <w:rsid w:val="00A03461"/>
    <w:rsid w:val="00A04C25"/>
    <w:rsid w:val="00A04EA2"/>
    <w:rsid w:val="00A128F4"/>
    <w:rsid w:val="00A37727"/>
    <w:rsid w:val="00A409F6"/>
    <w:rsid w:val="00A41544"/>
    <w:rsid w:val="00A43CD2"/>
    <w:rsid w:val="00A525BC"/>
    <w:rsid w:val="00A52B02"/>
    <w:rsid w:val="00A53C3A"/>
    <w:rsid w:val="00A5499A"/>
    <w:rsid w:val="00A638C4"/>
    <w:rsid w:val="00A73C54"/>
    <w:rsid w:val="00A80332"/>
    <w:rsid w:val="00A83B1C"/>
    <w:rsid w:val="00A84B89"/>
    <w:rsid w:val="00A867B2"/>
    <w:rsid w:val="00AA3B00"/>
    <w:rsid w:val="00AA431E"/>
    <w:rsid w:val="00AA6E70"/>
    <w:rsid w:val="00AB559A"/>
    <w:rsid w:val="00AD19C0"/>
    <w:rsid w:val="00AD391A"/>
    <w:rsid w:val="00AD3FFE"/>
    <w:rsid w:val="00AE028C"/>
    <w:rsid w:val="00AE0445"/>
    <w:rsid w:val="00AF31D9"/>
    <w:rsid w:val="00AF4CBA"/>
    <w:rsid w:val="00AF68B1"/>
    <w:rsid w:val="00AF725B"/>
    <w:rsid w:val="00B11E2C"/>
    <w:rsid w:val="00B14159"/>
    <w:rsid w:val="00B21B21"/>
    <w:rsid w:val="00B2462F"/>
    <w:rsid w:val="00B37FDF"/>
    <w:rsid w:val="00B419D7"/>
    <w:rsid w:val="00B56AAB"/>
    <w:rsid w:val="00B67967"/>
    <w:rsid w:val="00B70810"/>
    <w:rsid w:val="00B96AFE"/>
    <w:rsid w:val="00BC18AF"/>
    <w:rsid w:val="00BC52D9"/>
    <w:rsid w:val="00BD02A8"/>
    <w:rsid w:val="00BD304F"/>
    <w:rsid w:val="00BE3042"/>
    <w:rsid w:val="00BF1C67"/>
    <w:rsid w:val="00BF3386"/>
    <w:rsid w:val="00BF3F4F"/>
    <w:rsid w:val="00BF697C"/>
    <w:rsid w:val="00C037E0"/>
    <w:rsid w:val="00C15749"/>
    <w:rsid w:val="00C2231F"/>
    <w:rsid w:val="00C27549"/>
    <w:rsid w:val="00C3728B"/>
    <w:rsid w:val="00C42B81"/>
    <w:rsid w:val="00C434D8"/>
    <w:rsid w:val="00C446C0"/>
    <w:rsid w:val="00C504F8"/>
    <w:rsid w:val="00C53F76"/>
    <w:rsid w:val="00C55984"/>
    <w:rsid w:val="00C57501"/>
    <w:rsid w:val="00C72752"/>
    <w:rsid w:val="00C733BD"/>
    <w:rsid w:val="00C7469A"/>
    <w:rsid w:val="00C77930"/>
    <w:rsid w:val="00C87FEE"/>
    <w:rsid w:val="00C92F01"/>
    <w:rsid w:val="00C9571C"/>
    <w:rsid w:val="00CA2827"/>
    <w:rsid w:val="00CA53C8"/>
    <w:rsid w:val="00CB3328"/>
    <w:rsid w:val="00CC09B4"/>
    <w:rsid w:val="00CE2204"/>
    <w:rsid w:val="00CE34E1"/>
    <w:rsid w:val="00CF03A6"/>
    <w:rsid w:val="00CF28CD"/>
    <w:rsid w:val="00CF3CED"/>
    <w:rsid w:val="00CF6D32"/>
    <w:rsid w:val="00D069F8"/>
    <w:rsid w:val="00D0787A"/>
    <w:rsid w:val="00D26DA8"/>
    <w:rsid w:val="00D34588"/>
    <w:rsid w:val="00D44B73"/>
    <w:rsid w:val="00D45DC9"/>
    <w:rsid w:val="00D465DF"/>
    <w:rsid w:val="00D5242A"/>
    <w:rsid w:val="00D55A33"/>
    <w:rsid w:val="00D56896"/>
    <w:rsid w:val="00D60A39"/>
    <w:rsid w:val="00D77FB0"/>
    <w:rsid w:val="00DA1FC3"/>
    <w:rsid w:val="00DB33AE"/>
    <w:rsid w:val="00DC233F"/>
    <w:rsid w:val="00DC4053"/>
    <w:rsid w:val="00DC5087"/>
    <w:rsid w:val="00DC5AA4"/>
    <w:rsid w:val="00DE03D0"/>
    <w:rsid w:val="00DE3B5A"/>
    <w:rsid w:val="00DE7683"/>
    <w:rsid w:val="00DF1D0C"/>
    <w:rsid w:val="00DF51D1"/>
    <w:rsid w:val="00E15ABE"/>
    <w:rsid w:val="00E175F7"/>
    <w:rsid w:val="00E22CF1"/>
    <w:rsid w:val="00E37231"/>
    <w:rsid w:val="00E427B3"/>
    <w:rsid w:val="00E608FF"/>
    <w:rsid w:val="00E6582C"/>
    <w:rsid w:val="00E74895"/>
    <w:rsid w:val="00E75ADE"/>
    <w:rsid w:val="00E7734A"/>
    <w:rsid w:val="00E81791"/>
    <w:rsid w:val="00E91B7F"/>
    <w:rsid w:val="00E95D19"/>
    <w:rsid w:val="00EA07F0"/>
    <w:rsid w:val="00EA3BA4"/>
    <w:rsid w:val="00EB25CC"/>
    <w:rsid w:val="00EC743B"/>
    <w:rsid w:val="00EC7BB5"/>
    <w:rsid w:val="00ED2B1C"/>
    <w:rsid w:val="00EF6B42"/>
    <w:rsid w:val="00F1147A"/>
    <w:rsid w:val="00F13CAA"/>
    <w:rsid w:val="00F153F1"/>
    <w:rsid w:val="00F21528"/>
    <w:rsid w:val="00F236F9"/>
    <w:rsid w:val="00F26450"/>
    <w:rsid w:val="00F3153D"/>
    <w:rsid w:val="00F34CBE"/>
    <w:rsid w:val="00F368AF"/>
    <w:rsid w:val="00F50ED4"/>
    <w:rsid w:val="00F51B8C"/>
    <w:rsid w:val="00F52646"/>
    <w:rsid w:val="00F61E2F"/>
    <w:rsid w:val="00F6678D"/>
    <w:rsid w:val="00F815DB"/>
    <w:rsid w:val="00F87DF0"/>
    <w:rsid w:val="00FA0E92"/>
    <w:rsid w:val="00FA5F2D"/>
    <w:rsid w:val="00FC0B62"/>
    <w:rsid w:val="00FC3BDA"/>
    <w:rsid w:val="00FE2A4B"/>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20"/>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444C17"/>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17"/>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444C17"/>
    <w:pPr>
      <w:spacing w:after="0" w:line="36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4C17"/>
    <w:rPr>
      <w:rFonts w:ascii="Times New Roman" w:eastAsiaTheme="majorEastAsia" w:hAnsi="Times New Roman" w:cstheme="majorBidi"/>
      <w:b/>
      <w:spacing w:val="-10"/>
      <w:kern w:val="28"/>
      <w:sz w:val="56"/>
      <w:szCs w:val="56"/>
    </w:rPr>
  </w:style>
  <w:style w:type="paragraph" w:styleId="ListParagraph">
    <w:name w:val="List Paragraph"/>
    <w:basedOn w:val="Normal"/>
    <w:uiPriority w:val="34"/>
    <w:qFormat/>
    <w:rsid w:val="00474917"/>
    <w:pPr>
      <w:ind w:left="720"/>
      <w:contextualSpacing/>
    </w:pPr>
  </w:style>
  <w:style w:type="paragraph" w:styleId="FootnoteText">
    <w:name w:val="footnote text"/>
    <w:basedOn w:val="Normal"/>
    <w:link w:val="FootnoteTextChar"/>
    <w:uiPriority w:val="99"/>
    <w:semiHidden/>
    <w:unhideWhenUsed/>
    <w:rsid w:val="00474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917"/>
    <w:rPr>
      <w:rFonts w:ascii="Times New Roman" w:hAnsi="Times New Roman"/>
      <w:sz w:val="20"/>
      <w:szCs w:val="20"/>
    </w:rPr>
  </w:style>
  <w:style w:type="character" w:styleId="FootnoteReference">
    <w:name w:val="footnote reference"/>
    <w:basedOn w:val="DefaultParagraphFont"/>
    <w:uiPriority w:val="99"/>
    <w:semiHidden/>
    <w:unhideWhenUsed/>
    <w:rsid w:val="00474917"/>
    <w:rPr>
      <w:vertAlign w:val="superscript"/>
    </w:rPr>
  </w:style>
  <w:style w:type="paragraph" w:styleId="NormalWeb">
    <w:name w:val="Normal (Web)"/>
    <w:basedOn w:val="Normal"/>
    <w:uiPriority w:val="99"/>
    <w:unhideWhenUsed/>
    <w:rsid w:val="00474917"/>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474917"/>
  </w:style>
  <w:style w:type="paragraph" w:styleId="Header">
    <w:name w:val="header"/>
    <w:basedOn w:val="Normal"/>
    <w:link w:val="HeaderChar"/>
    <w:uiPriority w:val="99"/>
    <w:unhideWhenUsed/>
    <w:rsid w:val="0047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17"/>
    <w:rPr>
      <w:rFonts w:ascii="Times New Roman" w:hAnsi="Times New Roman"/>
      <w:sz w:val="24"/>
    </w:rPr>
  </w:style>
  <w:style w:type="paragraph" w:styleId="Footer">
    <w:name w:val="footer"/>
    <w:basedOn w:val="Normal"/>
    <w:link w:val="FooterChar"/>
    <w:uiPriority w:val="99"/>
    <w:unhideWhenUsed/>
    <w:rsid w:val="007D2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9ED"/>
    <w:rPr>
      <w:rFonts w:ascii="Times New Roman" w:hAnsi="Times New Roman"/>
      <w:sz w:val="24"/>
    </w:rPr>
  </w:style>
  <w:style w:type="paragraph" w:styleId="BalloonText">
    <w:name w:val="Balloon Text"/>
    <w:basedOn w:val="Normal"/>
    <w:link w:val="BalloonTextChar"/>
    <w:uiPriority w:val="99"/>
    <w:semiHidden/>
    <w:unhideWhenUsed/>
    <w:rsid w:val="00FC0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62"/>
    <w:rPr>
      <w:rFonts w:ascii="Tahoma" w:hAnsi="Tahoma" w:cs="Tahoma"/>
      <w:sz w:val="16"/>
      <w:szCs w:val="16"/>
    </w:rPr>
  </w:style>
  <w:style w:type="table" w:customStyle="1" w:styleId="PlainTable31">
    <w:name w:val="Plain Table 31"/>
    <w:basedOn w:val="TableNormal"/>
    <w:uiPriority w:val="43"/>
    <w:rsid w:val="00A549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Shading-Accent3">
    <w:name w:val="Light Shading Accent 3"/>
    <w:basedOn w:val="TableNormal"/>
    <w:uiPriority w:val="60"/>
    <w:rsid w:val="00C42B8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C42B8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1">
    <w:name w:val="Light Shading Accent 1"/>
    <w:basedOn w:val="TableNormal"/>
    <w:uiPriority w:val="60"/>
    <w:rsid w:val="00C42B8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Accent3">
    <w:name w:val="Light Grid Accent 3"/>
    <w:basedOn w:val="TableNormal"/>
    <w:uiPriority w:val="62"/>
    <w:rsid w:val="00C42B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C42B8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C42B8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
    <w:name w:val="Medium List 1"/>
    <w:basedOn w:val="TableNormal"/>
    <w:uiPriority w:val="65"/>
    <w:rsid w:val="00C42B8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3">
    <w:name w:val="Medium List 2 Accent 3"/>
    <w:basedOn w:val="TableNormal"/>
    <w:uiPriority w:val="66"/>
    <w:rsid w:val="00C42B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42B8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1-Accent5">
    <w:name w:val="Medium List 1 Accent 5"/>
    <w:basedOn w:val="TableNormal"/>
    <w:uiPriority w:val="65"/>
    <w:rsid w:val="00C42B8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Grid1-Accent3">
    <w:name w:val="Medium Grid 1 Accent 3"/>
    <w:basedOn w:val="TableNormal"/>
    <w:uiPriority w:val="67"/>
    <w:rsid w:val="00C42B8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3-Accent3">
    <w:name w:val="Medium Grid 3 Accent 3"/>
    <w:basedOn w:val="TableNormal"/>
    <w:uiPriority w:val="69"/>
    <w:rsid w:val="00C42B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ghtShading">
    <w:name w:val="Light Shading"/>
    <w:basedOn w:val="TableNormal"/>
    <w:uiPriority w:val="60"/>
    <w:rsid w:val="00C42B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A6E70"/>
    <w:rPr>
      <w:color w:val="0000FF"/>
      <w:u w:val="single"/>
    </w:rPr>
  </w:style>
  <w:style w:type="character" w:styleId="CommentReference">
    <w:name w:val="annotation reference"/>
    <w:basedOn w:val="DefaultParagraphFont"/>
    <w:uiPriority w:val="99"/>
    <w:semiHidden/>
    <w:unhideWhenUsed/>
    <w:rsid w:val="000F205F"/>
    <w:rPr>
      <w:sz w:val="16"/>
      <w:szCs w:val="16"/>
    </w:rPr>
  </w:style>
  <w:style w:type="paragraph" w:styleId="CommentText">
    <w:name w:val="annotation text"/>
    <w:basedOn w:val="Normal"/>
    <w:link w:val="CommentTextChar"/>
    <w:uiPriority w:val="99"/>
    <w:semiHidden/>
    <w:unhideWhenUsed/>
    <w:rsid w:val="000F205F"/>
    <w:pPr>
      <w:spacing w:line="240" w:lineRule="auto"/>
    </w:pPr>
    <w:rPr>
      <w:sz w:val="20"/>
      <w:szCs w:val="20"/>
    </w:rPr>
  </w:style>
  <w:style w:type="character" w:customStyle="1" w:styleId="CommentTextChar">
    <w:name w:val="Comment Text Char"/>
    <w:basedOn w:val="DefaultParagraphFont"/>
    <w:link w:val="CommentText"/>
    <w:uiPriority w:val="99"/>
    <w:semiHidden/>
    <w:rsid w:val="000F20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205F"/>
    <w:rPr>
      <w:b/>
      <w:bCs/>
    </w:rPr>
  </w:style>
  <w:style w:type="character" w:customStyle="1" w:styleId="CommentSubjectChar">
    <w:name w:val="Comment Subject Char"/>
    <w:basedOn w:val="CommentTextChar"/>
    <w:link w:val="CommentSubject"/>
    <w:uiPriority w:val="99"/>
    <w:semiHidden/>
    <w:rsid w:val="000F205F"/>
    <w:rPr>
      <w:rFonts w:ascii="Times New Roman" w:hAnsi="Times New Roman"/>
      <w:b/>
      <w:bCs/>
      <w:sz w:val="20"/>
      <w:szCs w:val="20"/>
    </w:rPr>
  </w:style>
  <w:style w:type="paragraph" w:styleId="Revision">
    <w:name w:val="Revision"/>
    <w:hidden/>
    <w:uiPriority w:val="99"/>
    <w:semiHidden/>
    <w:rsid w:val="000F205F"/>
    <w:pPr>
      <w:spacing w:after="0" w:line="240" w:lineRule="auto"/>
    </w:pPr>
    <w:rPr>
      <w:rFonts w:ascii="Times New Roman" w:hAnsi="Times New Roman"/>
      <w:sz w:val="24"/>
    </w:rPr>
  </w:style>
  <w:style w:type="table" w:styleId="TableGrid">
    <w:name w:val="Table Grid"/>
    <w:basedOn w:val="TableNormal"/>
    <w:uiPriority w:val="39"/>
    <w:rsid w:val="00723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20"/>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444C17"/>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17"/>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444C17"/>
    <w:pPr>
      <w:spacing w:after="0" w:line="36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4C17"/>
    <w:rPr>
      <w:rFonts w:ascii="Times New Roman" w:eastAsiaTheme="majorEastAsia" w:hAnsi="Times New Roman" w:cstheme="majorBidi"/>
      <w:b/>
      <w:spacing w:val="-10"/>
      <w:kern w:val="28"/>
      <w:sz w:val="56"/>
      <w:szCs w:val="56"/>
    </w:rPr>
  </w:style>
  <w:style w:type="paragraph" w:styleId="ListParagraph">
    <w:name w:val="List Paragraph"/>
    <w:basedOn w:val="Normal"/>
    <w:uiPriority w:val="34"/>
    <w:qFormat/>
    <w:rsid w:val="00474917"/>
    <w:pPr>
      <w:ind w:left="720"/>
      <w:contextualSpacing/>
    </w:pPr>
  </w:style>
  <w:style w:type="paragraph" w:styleId="FootnoteText">
    <w:name w:val="footnote text"/>
    <w:basedOn w:val="Normal"/>
    <w:link w:val="FootnoteTextChar"/>
    <w:uiPriority w:val="99"/>
    <w:semiHidden/>
    <w:unhideWhenUsed/>
    <w:rsid w:val="00474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917"/>
    <w:rPr>
      <w:rFonts w:ascii="Times New Roman" w:hAnsi="Times New Roman"/>
      <w:sz w:val="20"/>
      <w:szCs w:val="20"/>
    </w:rPr>
  </w:style>
  <w:style w:type="character" w:styleId="FootnoteReference">
    <w:name w:val="footnote reference"/>
    <w:basedOn w:val="DefaultParagraphFont"/>
    <w:uiPriority w:val="99"/>
    <w:semiHidden/>
    <w:unhideWhenUsed/>
    <w:rsid w:val="00474917"/>
    <w:rPr>
      <w:vertAlign w:val="superscript"/>
    </w:rPr>
  </w:style>
  <w:style w:type="paragraph" w:styleId="NormalWeb">
    <w:name w:val="Normal (Web)"/>
    <w:basedOn w:val="Normal"/>
    <w:uiPriority w:val="99"/>
    <w:unhideWhenUsed/>
    <w:rsid w:val="00474917"/>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474917"/>
  </w:style>
  <w:style w:type="paragraph" w:styleId="Header">
    <w:name w:val="header"/>
    <w:basedOn w:val="Normal"/>
    <w:link w:val="HeaderChar"/>
    <w:uiPriority w:val="99"/>
    <w:unhideWhenUsed/>
    <w:rsid w:val="0047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17"/>
    <w:rPr>
      <w:rFonts w:ascii="Times New Roman" w:hAnsi="Times New Roman"/>
      <w:sz w:val="24"/>
    </w:rPr>
  </w:style>
  <w:style w:type="paragraph" w:styleId="Footer">
    <w:name w:val="footer"/>
    <w:basedOn w:val="Normal"/>
    <w:link w:val="FooterChar"/>
    <w:uiPriority w:val="99"/>
    <w:unhideWhenUsed/>
    <w:rsid w:val="007D2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9ED"/>
    <w:rPr>
      <w:rFonts w:ascii="Times New Roman" w:hAnsi="Times New Roman"/>
      <w:sz w:val="24"/>
    </w:rPr>
  </w:style>
  <w:style w:type="paragraph" w:styleId="BalloonText">
    <w:name w:val="Balloon Text"/>
    <w:basedOn w:val="Normal"/>
    <w:link w:val="BalloonTextChar"/>
    <w:uiPriority w:val="99"/>
    <w:semiHidden/>
    <w:unhideWhenUsed/>
    <w:rsid w:val="00FC0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62"/>
    <w:rPr>
      <w:rFonts w:ascii="Tahoma" w:hAnsi="Tahoma" w:cs="Tahoma"/>
      <w:sz w:val="16"/>
      <w:szCs w:val="16"/>
    </w:rPr>
  </w:style>
  <w:style w:type="table" w:customStyle="1" w:styleId="PlainTable31">
    <w:name w:val="Plain Table 31"/>
    <w:basedOn w:val="TableNormal"/>
    <w:uiPriority w:val="43"/>
    <w:rsid w:val="00A549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Shading-Accent3">
    <w:name w:val="Light Shading Accent 3"/>
    <w:basedOn w:val="TableNormal"/>
    <w:uiPriority w:val="60"/>
    <w:rsid w:val="00C42B8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C42B8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1">
    <w:name w:val="Light Shading Accent 1"/>
    <w:basedOn w:val="TableNormal"/>
    <w:uiPriority w:val="60"/>
    <w:rsid w:val="00C42B8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Accent3">
    <w:name w:val="Light Grid Accent 3"/>
    <w:basedOn w:val="TableNormal"/>
    <w:uiPriority w:val="62"/>
    <w:rsid w:val="00C42B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C42B8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C42B8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
    <w:name w:val="Medium List 1"/>
    <w:basedOn w:val="TableNormal"/>
    <w:uiPriority w:val="65"/>
    <w:rsid w:val="00C42B8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3">
    <w:name w:val="Medium List 2 Accent 3"/>
    <w:basedOn w:val="TableNormal"/>
    <w:uiPriority w:val="66"/>
    <w:rsid w:val="00C42B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42B8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1-Accent5">
    <w:name w:val="Medium List 1 Accent 5"/>
    <w:basedOn w:val="TableNormal"/>
    <w:uiPriority w:val="65"/>
    <w:rsid w:val="00C42B8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Grid1-Accent3">
    <w:name w:val="Medium Grid 1 Accent 3"/>
    <w:basedOn w:val="TableNormal"/>
    <w:uiPriority w:val="67"/>
    <w:rsid w:val="00C42B8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3-Accent3">
    <w:name w:val="Medium Grid 3 Accent 3"/>
    <w:basedOn w:val="TableNormal"/>
    <w:uiPriority w:val="69"/>
    <w:rsid w:val="00C42B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ghtShading">
    <w:name w:val="Light Shading"/>
    <w:basedOn w:val="TableNormal"/>
    <w:uiPriority w:val="60"/>
    <w:rsid w:val="00C42B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A6E70"/>
    <w:rPr>
      <w:color w:val="0000FF"/>
      <w:u w:val="single"/>
    </w:rPr>
  </w:style>
  <w:style w:type="character" w:styleId="CommentReference">
    <w:name w:val="annotation reference"/>
    <w:basedOn w:val="DefaultParagraphFont"/>
    <w:uiPriority w:val="99"/>
    <w:semiHidden/>
    <w:unhideWhenUsed/>
    <w:rsid w:val="000F205F"/>
    <w:rPr>
      <w:sz w:val="16"/>
      <w:szCs w:val="16"/>
    </w:rPr>
  </w:style>
  <w:style w:type="paragraph" w:styleId="CommentText">
    <w:name w:val="annotation text"/>
    <w:basedOn w:val="Normal"/>
    <w:link w:val="CommentTextChar"/>
    <w:uiPriority w:val="99"/>
    <w:semiHidden/>
    <w:unhideWhenUsed/>
    <w:rsid w:val="000F205F"/>
    <w:pPr>
      <w:spacing w:line="240" w:lineRule="auto"/>
    </w:pPr>
    <w:rPr>
      <w:sz w:val="20"/>
      <w:szCs w:val="20"/>
    </w:rPr>
  </w:style>
  <w:style w:type="character" w:customStyle="1" w:styleId="CommentTextChar">
    <w:name w:val="Comment Text Char"/>
    <w:basedOn w:val="DefaultParagraphFont"/>
    <w:link w:val="CommentText"/>
    <w:uiPriority w:val="99"/>
    <w:semiHidden/>
    <w:rsid w:val="000F20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205F"/>
    <w:rPr>
      <w:b/>
      <w:bCs/>
    </w:rPr>
  </w:style>
  <w:style w:type="character" w:customStyle="1" w:styleId="CommentSubjectChar">
    <w:name w:val="Comment Subject Char"/>
    <w:basedOn w:val="CommentTextChar"/>
    <w:link w:val="CommentSubject"/>
    <w:uiPriority w:val="99"/>
    <w:semiHidden/>
    <w:rsid w:val="000F205F"/>
    <w:rPr>
      <w:rFonts w:ascii="Times New Roman" w:hAnsi="Times New Roman"/>
      <w:b/>
      <w:bCs/>
      <w:sz w:val="20"/>
      <w:szCs w:val="20"/>
    </w:rPr>
  </w:style>
  <w:style w:type="paragraph" w:styleId="Revision">
    <w:name w:val="Revision"/>
    <w:hidden/>
    <w:uiPriority w:val="99"/>
    <w:semiHidden/>
    <w:rsid w:val="000F205F"/>
    <w:pPr>
      <w:spacing w:after="0" w:line="240" w:lineRule="auto"/>
    </w:pPr>
    <w:rPr>
      <w:rFonts w:ascii="Times New Roman" w:hAnsi="Times New Roman"/>
      <w:sz w:val="24"/>
    </w:rPr>
  </w:style>
  <w:style w:type="table" w:styleId="TableGrid">
    <w:name w:val="Table Grid"/>
    <w:basedOn w:val="TableNormal"/>
    <w:uiPriority w:val="39"/>
    <w:rsid w:val="00723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18">
      <w:bodyDiv w:val="1"/>
      <w:marLeft w:val="0"/>
      <w:marRight w:val="0"/>
      <w:marTop w:val="0"/>
      <w:marBottom w:val="0"/>
      <w:divBdr>
        <w:top w:val="none" w:sz="0" w:space="0" w:color="auto"/>
        <w:left w:val="none" w:sz="0" w:space="0" w:color="auto"/>
        <w:bottom w:val="none" w:sz="0" w:space="0" w:color="auto"/>
        <w:right w:val="none" w:sz="0" w:space="0" w:color="auto"/>
      </w:divBdr>
    </w:div>
    <w:div w:id="248973747">
      <w:bodyDiv w:val="1"/>
      <w:marLeft w:val="0"/>
      <w:marRight w:val="0"/>
      <w:marTop w:val="0"/>
      <w:marBottom w:val="0"/>
      <w:divBdr>
        <w:top w:val="none" w:sz="0" w:space="0" w:color="auto"/>
        <w:left w:val="none" w:sz="0" w:space="0" w:color="auto"/>
        <w:bottom w:val="none" w:sz="0" w:space="0" w:color="auto"/>
        <w:right w:val="none" w:sz="0" w:space="0" w:color="auto"/>
      </w:divBdr>
    </w:div>
    <w:div w:id="358287639">
      <w:bodyDiv w:val="1"/>
      <w:marLeft w:val="0"/>
      <w:marRight w:val="0"/>
      <w:marTop w:val="0"/>
      <w:marBottom w:val="0"/>
      <w:divBdr>
        <w:top w:val="none" w:sz="0" w:space="0" w:color="auto"/>
        <w:left w:val="none" w:sz="0" w:space="0" w:color="auto"/>
        <w:bottom w:val="none" w:sz="0" w:space="0" w:color="auto"/>
        <w:right w:val="none" w:sz="0" w:space="0" w:color="auto"/>
      </w:divBdr>
    </w:div>
    <w:div w:id="760611253">
      <w:bodyDiv w:val="1"/>
      <w:marLeft w:val="0"/>
      <w:marRight w:val="0"/>
      <w:marTop w:val="0"/>
      <w:marBottom w:val="0"/>
      <w:divBdr>
        <w:top w:val="none" w:sz="0" w:space="0" w:color="auto"/>
        <w:left w:val="none" w:sz="0" w:space="0" w:color="auto"/>
        <w:bottom w:val="none" w:sz="0" w:space="0" w:color="auto"/>
        <w:right w:val="none" w:sz="0" w:space="0" w:color="auto"/>
      </w:divBdr>
    </w:div>
    <w:div w:id="806975056">
      <w:bodyDiv w:val="1"/>
      <w:marLeft w:val="0"/>
      <w:marRight w:val="0"/>
      <w:marTop w:val="0"/>
      <w:marBottom w:val="0"/>
      <w:divBdr>
        <w:top w:val="none" w:sz="0" w:space="0" w:color="auto"/>
        <w:left w:val="none" w:sz="0" w:space="0" w:color="auto"/>
        <w:bottom w:val="none" w:sz="0" w:space="0" w:color="auto"/>
        <w:right w:val="none" w:sz="0" w:space="0" w:color="auto"/>
      </w:divBdr>
    </w:div>
    <w:div w:id="1008992988">
      <w:bodyDiv w:val="1"/>
      <w:marLeft w:val="0"/>
      <w:marRight w:val="0"/>
      <w:marTop w:val="0"/>
      <w:marBottom w:val="0"/>
      <w:divBdr>
        <w:top w:val="none" w:sz="0" w:space="0" w:color="auto"/>
        <w:left w:val="none" w:sz="0" w:space="0" w:color="auto"/>
        <w:bottom w:val="none" w:sz="0" w:space="0" w:color="auto"/>
        <w:right w:val="none" w:sz="0" w:space="0" w:color="auto"/>
      </w:divBdr>
      <w:divsChild>
        <w:div w:id="1315453115">
          <w:marLeft w:val="547"/>
          <w:marRight w:val="0"/>
          <w:marTop w:val="0"/>
          <w:marBottom w:val="0"/>
          <w:divBdr>
            <w:top w:val="none" w:sz="0" w:space="0" w:color="auto"/>
            <w:left w:val="none" w:sz="0" w:space="0" w:color="auto"/>
            <w:bottom w:val="none" w:sz="0" w:space="0" w:color="auto"/>
            <w:right w:val="none" w:sz="0" w:space="0" w:color="auto"/>
          </w:divBdr>
        </w:div>
        <w:div w:id="1081413408">
          <w:marLeft w:val="547"/>
          <w:marRight w:val="0"/>
          <w:marTop w:val="0"/>
          <w:marBottom w:val="0"/>
          <w:divBdr>
            <w:top w:val="none" w:sz="0" w:space="0" w:color="auto"/>
            <w:left w:val="none" w:sz="0" w:space="0" w:color="auto"/>
            <w:bottom w:val="none" w:sz="0" w:space="0" w:color="auto"/>
            <w:right w:val="none" w:sz="0" w:space="0" w:color="auto"/>
          </w:divBdr>
        </w:div>
        <w:div w:id="1822696649">
          <w:marLeft w:val="547"/>
          <w:marRight w:val="0"/>
          <w:marTop w:val="0"/>
          <w:marBottom w:val="0"/>
          <w:divBdr>
            <w:top w:val="none" w:sz="0" w:space="0" w:color="auto"/>
            <w:left w:val="none" w:sz="0" w:space="0" w:color="auto"/>
            <w:bottom w:val="none" w:sz="0" w:space="0" w:color="auto"/>
            <w:right w:val="none" w:sz="0" w:space="0" w:color="auto"/>
          </w:divBdr>
        </w:div>
      </w:divsChild>
    </w:div>
    <w:div w:id="1089278288">
      <w:bodyDiv w:val="1"/>
      <w:marLeft w:val="0"/>
      <w:marRight w:val="0"/>
      <w:marTop w:val="0"/>
      <w:marBottom w:val="0"/>
      <w:divBdr>
        <w:top w:val="none" w:sz="0" w:space="0" w:color="auto"/>
        <w:left w:val="none" w:sz="0" w:space="0" w:color="auto"/>
        <w:bottom w:val="none" w:sz="0" w:space="0" w:color="auto"/>
        <w:right w:val="none" w:sz="0" w:space="0" w:color="auto"/>
      </w:divBdr>
      <w:divsChild>
        <w:div w:id="696392779">
          <w:marLeft w:val="0"/>
          <w:marRight w:val="0"/>
          <w:marTop w:val="0"/>
          <w:marBottom w:val="0"/>
          <w:divBdr>
            <w:top w:val="none" w:sz="0" w:space="0" w:color="auto"/>
            <w:left w:val="none" w:sz="0" w:space="0" w:color="auto"/>
            <w:bottom w:val="none" w:sz="0" w:space="0" w:color="auto"/>
            <w:right w:val="none" w:sz="0" w:space="0" w:color="auto"/>
          </w:divBdr>
        </w:div>
      </w:divsChild>
    </w:div>
    <w:div w:id="1090856874">
      <w:bodyDiv w:val="1"/>
      <w:marLeft w:val="0"/>
      <w:marRight w:val="0"/>
      <w:marTop w:val="0"/>
      <w:marBottom w:val="0"/>
      <w:divBdr>
        <w:top w:val="none" w:sz="0" w:space="0" w:color="auto"/>
        <w:left w:val="none" w:sz="0" w:space="0" w:color="auto"/>
        <w:bottom w:val="none" w:sz="0" w:space="0" w:color="auto"/>
        <w:right w:val="none" w:sz="0" w:space="0" w:color="auto"/>
      </w:divBdr>
    </w:div>
    <w:div w:id="1254243022">
      <w:bodyDiv w:val="1"/>
      <w:marLeft w:val="0"/>
      <w:marRight w:val="0"/>
      <w:marTop w:val="0"/>
      <w:marBottom w:val="0"/>
      <w:divBdr>
        <w:top w:val="none" w:sz="0" w:space="0" w:color="auto"/>
        <w:left w:val="none" w:sz="0" w:space="0" w:color="auto"/>
        <w:bottom w:val="none" w:sz="0" w:space="0" w:color="auto"/>
        <w:right w:val="none" w:sz="0" w:space="0" w:color="auto"/>
      </w:divBdr>
      <w:divsChild>
        <w:div w:id="189421612">
          <w:marLeft w:val="720"/>
          <w:marRight w:val="0"/>
          <w:marTop w:val="0"/>
          <w:marBottom w:val="160"/>
          <w:divBdr>
            <w:top w:val="none" w:sz="0" w:space="0" w:color="auto"/>
            <w:left w:val="none" w:sz="0" w:space="0" w:color="auto"/>
            <w:bottom w:val="none" w:sz="0" w:space="0" w:color="auto"/>
            <w:right w:val="none" w:sz="0" w:space="0" w:color="auto"/>
          </w:divBdr>
        </w:div>
        <w:div w:id="1746343356">
          <w:marLeft w:val="720"/>
          <w:marRight w:val="0"/>
          <w:marTop w:val="0"/>
          <w:marBottom w:val="0"/>
          <w:divBdr>
            <w:top w:val="none" w:sz="0" w:space="0" w:color="auto"/>
            <w:left w:val="none" w:sz="0" w:space="0" w:color="auto"/>
            <w:bottom w:val="none" w:sz="0" w:space="0" w:color="auto"/>
            <w:right w:val="none" w:sz="0" w:space="0" w:color="auto"/>
          </w:divBdr>
        </w:div>
      </w:divsChild>
    </w:div>
    <w:div w:id="1686898806">
      <w:bodyDiv w:val="1"/>
      <w:marLeft w:val="0"/>
      <w:marRight w:val="0"/>
      <w:marTop w:val="0"/>
      <w:marBottom w:val="0"/>
      <w:divBdr>
        <w:top w:val="none" w:sz="0" w:space="0" w:color="auto"/>
        <w:left w:val="none" w:sz="0" w:space="0" w:color="auto"/>
        <w:bottom w:val="none" w:sz="0" w:space="0" w:color="auto"/>
        <w:right w:val="none" w:sz="0" w:space="0" w:color="auto"/>
      </w:divBdr>
    </w:div>
    <w:div w:id="1740514656">
      <w:bodyDiv w:val="1"/>
      <w:marLeft w:val="0"/>
      <w:marRight w:val="0"/>
      <w:marTop w:val="0"/>
      <w:marBottom w:val="0"/>
      <w:divBdr>
        <w:top w:val="none" w:sz="0" w:space="0" w:color="auto"/>
        <w:left w:val="none" w:sz="0" w:space="0" w:color="auto"/>
        <w:bottom w:val="none" w:sz="0" w:space="0" w:color="auto"/>
        <w:right w:val="none" w:sz="0" w:space="0" w:color="auto"/>
      </w:divBdr>
    </w:div>
    <w:div w:id="1778940066">
      <w:bodyDiv w:val="1"/>
      <w:marLeft w:val="0"/>
      <w:marRight w:val="0"/>
      <w:marTop w:val="0"/>
      <w:marBottom w:val="0"/>
      <w:divBdr>
        <w:top w:val="none" w:sz="0" w:space="0" w:color="auto"/>
        <w:left w:val="none" w:sz="0" w:space="0" w:color="auto"/>
        <w:bottom w:val="none" w:sz="0" w:space="0" w:color="auto"/>
        <w:right w:val="none" w:sz="0" w:space="0" w:color="auto"/>
      </w:divBdr>
      <w:divsChild>
        <w:div w:id="2112777317">
          <w:marLeft w:val="950"/>
          <w:marRight w:val="0"/>
          <w:marTop w:val="175"/>
          <w:marBottom w:val="0"/>
          <w:divBdr>
            <w:top w:val="none" w:sz="0" w:space="0" w:color="auto"/>
            <w:left w:val="none" w:sz="0" w:space="0" w:color="auto"/>
            <w:bottom w:val="none" w:sz="0" w:space="0" w:color="auto"/>
            <w:right w:val="none" w:sz="0" w:space="0" w:color="auto"/>
          </w:divBdr>
        </w:div>
        <w:div w:id="446395816">
          <w:marLeft w:val="950"/>
          <w:marRight w:val="0"/>
          <w:marTop w:val="175"/>
          <w:marBottom w:val="0"/>
          <w:divBdr>
            <w:top w:val="none" w:sz="0" w:space="0" w:color="auto"/>
            <w:left w:val="none" w:sz="0" w:space="0" w:color="auto"/>
            <w:bottom w:val="none" w:sz="0" w:space="0" w:color="auto"/>
            <w:right w:val="none" w:sz="0" w:space="0" w:color="auto"/>
          </w:divBdr>
        </w:div>
        <w:div w:id="452019887">
          <w:marLeft w:val="950"/>
          <w:marRight w:val="0"/>
          <w:marTop w:val="175"/>
          <w:marBottom w:val="0"/>
          <w:divBdr>
            <w:top w:val="none" w:sz="0" w:space="0" w:color="auto"/>
            <w:left w:val="none" w:sz="0" w:space="0" w:color="auto"/>
            <w:bottom w:val="none" w:sz="0" w:space="0" w:color="auto"/>
            <w:right w:val="none" w:sz="0" w:space="0" w:color="auto"/>
          </w:divBdr>
        </w:div>
        <w:div w:id="1393966438">
          <w:marLeft w:val="950"/>
          <w:marRight w:val="0"/>
          <w:marTop w:val="175"/>
          <w:marBottom w:val="0"/>
          <w:divBdr>
            <w:top w:val="none" w:sz="0" w:space="0" w:color="auto"/>
            <w:left w:val="none" w:sz="0" w:space="0" w:color="auto"/>
            <w:bottom w:val="none" w:sz="0" w:space="0" w:color="auto"/>
            <w:right w:val="none" w:sz="0" w:space="0" w:color="auto"/>
          </w:divBdr>
        </w:div>
        <w:div w:id="1246189130">
          <w:marLeft w:val="950"/>
          <w:marRight w:val="0"/>
          <w:marTop w:val="175"/>
          <w:marBottom w:val="0"/>
          <w:divBdr>
            <w:top w:val="none" w:sz="0" w:space="0" w:color="auto"/>
            <w:left w:val="none" w:sz="0" w:space="0" w:color="auto"/>
            <w:bottom w:val="none" w:sz="0" w:space="0" w:color="auto"/>
            <w:right w:val="none" w:sz="0" w:space="0" w:color="auto"/>
          </w:divBdr>
        </w:div>
      </w:divsChild>
    </w:div>
    <w:div w:id="1813714737">
      <w:bodyDiv w:val="1"/>
      <w:marLeft w:val="0"/>
      <w:marRight w:val="0"/>
      <w:marTop w:val="0"/>
      <w:marBottom w:val="0"/>
      <w:divBdr>
        <w:top w:val="none" w:sz="0" w:space="0" w:color="auto"/>
        <w:left w:val="none" w:sz="0" w:space="0" w:color="auto"/>
        <w:bottom w:val="none" w:sz="0" w:space="0" w:color="auto"/>
        <w:right w:val="none" w:sz="0" w:space="0" w:color="auto"/>
      </w:divBdr>
    </w:div>
    <w:div w:id="1864980141">
      <w:bodyDiv w:val="1"/>
      <w:marLeft w:val="0"/>
      <w:marRight w:val="0"/>
      <w:marTop w:val="0"/>
      <w:marBottom w:val="0"/>
      <w:divBdr>
        <w:top w:val="none" w:sz="0" w:space="0" w:color="auto"/>
        <w:left w:val="none" w:sz="0" w:space="0" w:color="auto"/>
        <w:bottom w:val="none" w:sz="0" w:space="0" w:color="auto"/>
        <w:right w:val="none" w:sz="0" w:space="0" w:color="auto"/>
      </w:divBdr>
    </w:div>
    <w:div w:id="19888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journal/0002-9602_American_Journal_of_Sociolo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j.mp/1zDoJbF" TargetMode="External"/><Relationship Id="rId23"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gking.harvard.edu/publications/relogit-Rare-Events-Logistic-Regression" TargetMode="Externa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0"/>
    <c:plotArea>
      <c:layout>
        <c:manualLayout>
          <c:layoutTarget val="inner"/>
          <c:xMode val="edge"/>
          <c:yMode val="edge"/>
          <c:x val="0.18098018685827766"/>
          <c:y val="0.10339724074807671"/>
          <c:w val="0.75148591035770185"/>
          <c:h val="0.70978475104531857"/>
        </c:manualLayout>
      </c:layout>
      <c:lineChart>
        <c:grouping val="standard"/>
        <c:varyColors val="0"/>
        <c:ser>
          <c:idx val="1"/>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'[Chart in Microsoft PowerPoint]Sheet1'!$A$43:$A$50</c:f>
              <c:numCache>
                <c:formatCode>General</c:formatCode>
                <c:ptCount val="8"/>
                <c:pt idx="0">
                  <c:v>0</c:v>
                </c:pt>
                <c:pt idx="1">
                  <c:v>2</c:v>
                </c:pt>
                <c:pt idx="2">
                  <c:v>4</c:v>
                </c:pt>
                <c:pt idx="3">
                  <c:v>6</c:v>
                </c:pt>
                <c:pt idx="4">
                  <c:v>8</c:v>
                </c:pt>
                <c:pt idx="5">
                  <c:v>10</c:v>
                </c:pt>
                <c:pt idx="6">
                  <c:v>12</c:v>
                </c:pt>
                <c:pt idx="7">
                  <c:v>14</c:v>
                </c:pt>
              </c:numCache>
            </c:numRef>
          </c:cat>
          <c:val>
            <c:numRef>
              <c:f>'[Chart in Microsoft PowerPoint]Sheet1'!$B$43:$B$50</c:f>
              <c:numCache>
                <c:formatCode>General</c:formatCode>
                <c:ptCount val="8"/>
                <c:pt idx="0">
                  <c:v>0</c:v>
                </c:pt>
                <c:pt idx="1">
                  <c:v>1.8</c:v>
                </c:pt>
                <c:pt idx="2">
                  <c:v>3</c:v>
                </c:pt>
                <c:pt idx="3">
                  <c:v>5.3</c:v>
                </c:pt>
                <c:pt idx="4">
                  <c:v>9.3000000000000007</c:v>
                </c:pt>
                <c:pt idx="5">
                  <c:v>15.9</c:v>
                </c:pt>
                <c:pt idx="6">
                  <c:v>27.3</c:v>
                </c:pt>
                <c:pt idx="7">
                  <c:v>50.9</c:v>
                </c:pt>
              </c:numCache>
            </c:numRef>
          </c:val>
          <c:smooth val="0"/>
        </c:ser>
        <c:dLbls>
          <c:dLblPos val="t"/>
          <c:showLegendKey val="0"/>
          <c:showVal val="1"/>
          <c:showCatName val="0"/>
          <c:showSerName val="0"/>
          <c:showPercent val="0"/>
          <c:showBubbleSize val="0"/>
        </c:dLbls>
        <c:marker val="1"/>
        <c:smooth val="0"/>
        <c:axId val="148583936"/>
        <c:axId val="970903488"/>
      </c:lineChart>
      <c:catAx>
        <c:axId val="148583936"/>
        <c:scaling>
          <c:orientation val="minMax"/>
        </c:scaling>
        <c:delete val="0"/>
        <c:axPos val="b"/>
        <c:title>
          <c:tx>
            <c:rich>
              <a:bodyPr/>
              <a:lstStyle/>
              <a:p>
                <a:pPr>
                  <a:defRPr/>
                </a:pPr>
                <a:r>
                  <a:rPr lang="en-US"/>
                  <a:t>Number of Included Groups</a:t>
                </a:r>
              </a:p>
            </c:rich>
          </c:tx>
          <c:layout>
            <c:manualLayout>
              <c:xMode val="edge"/>
              <c:yMode val="edge"/>
              <c:x val="0.31534455592317479"/>
              <c:y val="0.91962007484119757"/>
            </c:manualLayout>
          </c:layout>
          <c:overlay val="0"/>
        </c:title>
        <c:numFmt formatCode="General" sourceLinked="1"/>
        <c:majorTickMark val="out"/>
        <c:minorTickMark val="none"/>
        <c:tickLblPos val="nextTo"/>
        <c:crossAx val="970903488"/>
        <c:crosses val="autoZero"/>
        <c:auto val="1"/>
        <c:lblAlgn val="ctr"/>
        <c:lblOffset val="100"/>
        <c:noMultiLvlLbl val="0"/>
      </c:catAx>
      <c:valAx>
        <c:axId val="970903488"/>
        <c:scaling>
          <c:orientation val="minMax"/>
        </c:scaling>
        <c:delete val="0"/>
        <c:axPos val="l"/>
        <c:majorGridlines/>
        <c:title>
          <c:tx>
            <c:rich>
              <a:bodyPr rot="-5400000" vert="horz"/>
              <a:lstStyle/>
              <a:p>
                <a:pPr>
                  <a:defRPr/>
                </a:pPr>
                <a:r>
                  <a:rPr lang="en-US"/>
                  <a:t>% Increase in Relative Risk</a:t>
                </a:r>
              </a:p>
            </c:rich>
          </c:tx>
          <c:layout>
            <c:manualLayout>
              <c:xMode val="edge"/>
              <c:yMode val="edge"/>
              <c:x val="5.4313270929103492E-2"/>
              <c:y val="0.16829899322195677"/>
            </c:manualLayout>
          </c:layout>
          <c:overlay val="0"/>
        </c:title>
        <c:numFmt formatCode="General" sourceLinked="1"/>
        <c:majorTickMark val="out"/>
        <c:minorTickMark val="none"/>
        <c:tickLblPos val="nextTo"/>
        <c:crossAx val="148583936"/>
        <c:crosses val="autoZero"/>
        <c:crossBetween val="between"/>
      </c:valAx>
    </c:plotArea>
    <c:plotVisOnly val="1"/>
    <c:dispBlanksAs val="gap"/>
    <c:showDLblsOverMax val="0"/>
  </c:chart>
  <c:txPr>
    <a:bodyPr/>
    <a:lstStyle/>
    <a:p>
      <a:pPr>
        <a:defRPr sz="12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Sheet1!$M$55:$M$63</c:f>
              <c:numCache>
                <c:formatCode>General</c:formatCode>
                <c:ptCount val="9"/>
                <c:pt idx="0">
                  <c:v>0</c:v>
                </c:pt>
                <c:pt idx="1">
                  <c:v>1.26</c:v>
                </c:pt>
                <c:pt idx="2">
                  <c:v>1.6</c:v>
                </c:pt>
                <c:pt idx="3">
                  <c:v>2</c:v>
                </c:pt>
                <c:pt idx="4">
                  <c:v>2.6</c:v>
                </c:pt>
                <c:pt idx="5">
                  <c:v>3.23</c:v>
                </c:pt>
                <c:pt idx="6">
                  <c:v>4.34</c:v>
                </c:pt>
                <c:pt idx="7">
                  <c:v>5.43</c:v>
                </c:pt>
                <c:pt idx="8">
                  <c:v>7.1</c:v>
                </c:pt>
              </c:numCache>
            </c:numRef>
          </c:val>
          <c:smooth val="0"/>
        </c:ser>
        <c:dLbls>
          <c:dLblPos val="t"/>
          <c:showLegendKey val="0"/>
          <c:showVal val="1"/>
          <c:showCatName val="0"/>
          <c:showSerName val="0"/>
          <c:showPercent val="0"/>
          <c:showBubbleSize val="0"/>
        </c:dLbls>
        <c:marker val="1"/>
        <c:smooth val="0"/>
        <c:axId val="160204800"/>
        <c:axId val="972040448"/>
      </c:lineChart>
      <c:catAx>
        <c:axId val="160204800"/>
        <c:scaling>
          <c:orientation val="minMax"/>
        </c:scaling>
        <c:delete val="0"/>
        <c:axPos val="b"/>
        <c:title>
          <c:tx>
            <c:rich>
              <a:bodyPr/>
              <a:lstStyle/>
              <a:p>
                <a:pPr>
                  <a:defRPr/>
                </a:pPr>
                <a:r>
                  <a:rPr lang="en-US"/>
                  <a:t>Number of Included Groups, India Excluded</a:t>
                </a:r>
              </a:p>
            </c:rich>
          </c:tx>
          <c:overlay val="0"/>
        </c:title>
        <c:majorTickMark val="out"/>
        <c:minorTickMark val="none"/>
        <c:tickLblPos val="nextTo"/>
        <c:crossAx val="972040448"/>
        <c:crosses val="autoZero"/>
        <c:auto val="1"/>
        <c:lblAlgn val="ctr"/>
        <c:lblOffset val="100"/>
        <c:noMultiLvlLbl val="0"/>
      </c:catAx>
      <c:valAx>
        <c:axId val="972040448"/>
        <c:scaling>
          <c:orientation val="minMax"/>
          <c:max val="60"/>
        </c:scaling>
        <c:delete val="0"/>
        <c:axPos val="l"/>
        <c:majorGridlines/>
        <c:title>
          <c:tx>
            <c:rich>
              <a:bodyPr rot="-5400000" vert="horz"/>
              <a:lstStyle/>
              <a:p>
                <a:pPr>
                  <a:defRPr/>
                </a:pPr>
                <a:r>
                  <a:rPr lang="en-US"/>
                  <a:t>% Increase in Relative Risk</a:t>
                </a:r>
              </a:p>
            </c:rich>
          </c:tx>
          <c:overlay val="0"/>
        </c:title>
        <c:numFmt formatCode="General" sourceLinked="1"/>
        <c:majorTickMark val="out"/>
        <c:minorTickMark val="none"/>
        <c:tickLblPos val="nextTo"/>
        <c:crossAx val="160204800"/>
        <c:crosses val="autoZero"/>
        <c:crossBetween val="between"/>
      </c:valAx>
    </c:plotArea>
    <c:plotVisOnly val="1"/>
    <c:dispBlanksAs val="gap"/>
    <c:showDLblsOverMax val="0"/>
  </c:chart>
  <c:txPr>
    <a:bodyPr/>
    <a:lstStyle/>
    <a:p>
      <a:pPr>
        <a:defRPr sz="12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0"/>
    <c:plotArea>
      <c:layout>
        <c:manualLayout>
          <c:layoutTarget val="inner"/>
          <c:xMode val="edge"/>
          <c:yMode val="edge"/>
          <c:x val="0.17730744309386962"/>
          <c:y val="3.104623731913839E-2"/>
          <c:w val="0.82269255690613041"/>
          <c:h val="0.76902969973155"/>
        </c:manualLayout>
      </c:layout>
      <c:lineChart>
        <c:grouping val="standard"/>
        <c:varyColors val="0"/>
        <c:ser>
          <c:idx val="0"/>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Sheet1!$A$18:$A$27</c:f>
              <c:numCache>
                <c:formatCode>General</c:formatCode>
                <c:ptCount val="10"/>
                <c:pt idx="0">
                  <c:v>0</c:v>
                </c:pt>
                <c:pt idx="1">
                  <c:v>0.5</c:v>
                </c:pt>
                <c:pt idx="2">
                  <c:v>1</c:v>
                </c:pt>
                <c:pt idx="3">
                  <c:v>1.5</c:v>
                </c:pt>
                <c:pt idx="4">
                  <c:v>2</c:v>
                </c:pt>
                <c:pt idx="5">
                  <c:v>2.5</c:v>
                </c:pt>
                <c:pt idx="6">
                  <c:v>3</c:v>
                </c:pt>
                <c:pt idx="7">
                  <c:v>3.5</c:v>
                </c:pt>
                <c:pt idx="8">
                  <c:v>4</c:v>
                </c:pt>
                <c:pt idx="9">
                  <c:v>4.5</c:v>
                </c:pt>
              </c:numCache>
            </c:numRef>
          </c:cat>
          <c:val>
            <c:numRef>
              <c:f>Sheet1!$B$18:$B$27</c:f>
              <c:numCache>
                <c:formatCode>General</c:formatCode>
                <c:ptCount val="10"/>
                <c:pt idx="0">
                  <c:v>0</c:v>
                </c:pt>
                <c:pt idx="1">
                  <c:v>1.7</c:v>
                </c:pt>
                <c:pt idx="2" formatCode="#,##0">
                  <c:v>1.8</c:v>
                </c:pt>
                <c:pt idx="3">
                  <c:v>2.5</c:v>
                </c:pt>
                <c:pt idx="4">
                  <c:v>3.5</c:v>
                </c:pt>
                <c:pt idx="5">
                  <c:v>4.8</c:v>
                </c:pt>
                <c:pt idx="6">
                  <c:v>6.4</c:v>
                </c:pt>
                <c:pt idx="7">
                  <c:v>8.6999999999999993</c:v>
                </c:pt>
                <c:pt idx="8">
                  <c:v>11.4</c:v>
                </c:pt>
                <c:pt idx="9">
                  <c:v>16.100000000000001</c:v>
                </c:pt>
              </c:numCache>
            </c:numRef>
          </c:val>
          <c:smooth val="0"/>
        </c:ser>
        <c:dLbls>
          <c:dLblPos val="t"/>
          <c:showLegendKey val="0"/>
          <c:showVal val="1"/>
          <c:showCatName val="0"/>
          <c:showSerName val="0"/>
          <c:showPercent val="0"/>
          <c:showBubbleSize val="0"/>
        </c:dLbls>
        <c:marker val="1"/>
        <c:smooth val="0"/>
        <c:axId val="160205312"/>
        <c:axId val="972042752"/>
      </c:lineChart>
      <c:catAx>
        <c:axId val="160205312"/>
        <c:scaling>
          <c:orientation val="minMax"/>
        </c:scaling>
        <c:delete val="0"/>
        <c:axPos val="b"/>
        <c:title>
          <c:tx>
            <c:rich>
              <a:bodyPr/>
              <a:lstStyle/>
              <a:p>
                <a:pPr>
                  <a:defRPr/>
                </a:pPr>
                <a:r>
                  <a:rPr lang="en-US"/>
                  <a:t>Share of Excluded Population</a:t>
                </a:r>
              </a:p>
            </c:rich>
          </c:tx>
          <c:overlay val="0"/>
        </c:title>
        <c:numFmt formatCode="General" sourceLinked="1"/>
        <c:majorTickMark val="out"/>
        <c:minorTickMark val="none"/>
        <c:tickLblPos val="nextTo"/>
        <c:crossAx val="972042752"/>
        <c:crosses val="autoZero"/>
        <c:auto val="1"/>
        <c:lblAlgn val="ctr"/>
        <c:lblOffset val="100"/>
        <c:noMultiLvlLbl val="0"/>
      </c:catAx>
      <c:valAx>
        <c:axId val="972042752"/>
        <c:scaling>
          <c:orientation val="minMax"/>
        </c:scaling>
        <c:delete val="0"/>
        <c:axPos val="l"/>
        <c:majorGridlines/>
        <c:title>
          <c:tx>
            <c:rich>
              <a:bodyPr rot="-5400000" vert="horz"/>
              <a:lstStyle/>
              <a:p>
                <a:pPr>
                  <a:defRPr/>
                </a:pPr>
                <a:endParaRPr lang="en-US"/>
              </a:p>
              <a:p>
                <a:pPr>
                  <a:defRPr/>
                </a:pPr>
                <a:r>
                  <a:rPr lang="en-US"/>
                  <a:t>% Increase in Relative Risk</a:t>
                </a:r>
              </a:p>
            </c:rich>
          </c:tx>
          <c:overlay val="0"/>
        </c:title>
        <c:numFmt formatCode="General" sourceLinked="1"/>
        <c:majorTickMark val="out"/>
        <c:minorTickMark val="none"/>
        <c:tickLblPos val="nextTo"/>
        <c:crossAx val="1602053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062BAC1-D18C-4E5B-9162-F85D2B02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Richardson</dc:creator>
  <cp:lastModifiedBy>nobody</cp:lastModifiedBy>
  <cp:revision>5</cp:revision>
  <dcterms:created xsi:type="dcterms:W3CDTF">2016-04-13T06:33:00Z</dcterms:created>
  <dcterms:modified xsi:type="dcterms:W3CDTF">2016-04-13T06:47:00Z</dcterms:modified>
</cp:coreProperties>
</file>