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0965" w:rsidRDefault="00FE0965">
      <w:pPr>
        <w:spacing w:after="0" w:line="480" w:lineRule="auto"/>
      </w:pPr>
    </w:p>
    <w:p w:rsidR="00FE0965" w:rsidRDefault="00FE0965">
      <w:pPr>
        <w:spacing w:after="0" w:line="480" w:lineRule="auto"/>
      </w:pPr>
    </w:p>
    <w:p w:rsidR="00FE0965" w:rsidRDefault="00FE0965">
      <w:pPr>
        <w:spacing w:after="0" w:line="480" w:lineRule="auto"/>
      </w:pPr>
    </w:p>
    <w:p w:rsidR="00FE0965" w:rsidRDefault="00FE0965">
      <w:pPr>
        <w:spacing w:after="0" w:line="480" w:lineRule="auto"/>
      </w:pPr>
    </w:p>
    <w:p w:rsidR="00FE0965" w:rsidRDefault="00FE0965">
      <w:pPr>
        <w:spacing w:after="0" w:line="480" w:lineRule="auto"/>
      </w:pPr>
    </w:p>
    <w:p w:rsidR="00FE0965" w:rsidRDefault="00FE0965">
      <w:pPr>
        <w:spacing w:after="0" w:line="480" w:lineRule="auto"/>
      </w:pPr>
    </w:p>
    <w:p w:rsidR="00FE0965" w:rsidRDefault="00FE0965">
      <w:pPr>
        <w:spacing w:after="0" w:line="480" w:lineRule="auto"/>
      </w:pPr>
    </w:p>
    <w:p w:rsidR="00FE0965" w:rsidRDefault="00FE0965">
      <w:pPr>
        <w:spacing w:after="0" w:line="480" w:lineRule="auto"/>
      </w:pPr>
    </w:p>
    <w:p w:rsidR="00FE0965" w:rsidRDefault="00A0125B">
      <w:pPr>
        <w:spacing w:after="0" w:line="480" w:lineRule="auto"/>
        <w:jc w:val="center"/>
      </w:pPr>
      <w:r>
        <w:rPr>
          <w:rFonts w:ascii="Times New Roman" w:eastAsia="Times New Roman" w:hAnsi="Times New Roman" w:cs="Times New Roman"/>
          <w:b/>
          <w:sz w:val="24"/>
        </w:rPr>
        <w:t>Cooperation in International Environmental Treaties</w:t>
      </w:r>
      <w:r>
        <w:rPr>
          <w:rFonts w:ascii="Times New Roman" w:eastAsia="Times New Roman" w:hAnsi="Times New Roman" w:cs="Times New Roman"/>
          <w:b/>
          <w:sz w:val="24"/>
          <w:vertAlign w:val="superscript"/>
        </w:rPr>
        <w:footnoteReference w:id="1"/>
      </w:r>
    </w:p>
    <w:p w:rsidR="00FE0965" w:rsidRDefault="00FE0965">
      <w:pPr>
        <w:spacing w:after="0" w:line="480" w:lineRule="auto"/>
        <w:jc w:val="center"/>
      </w:pPr>
    </w:p>
    <w:p w:rsidR="00FE0965" w:rsidRDefault="00A0125B">
      <w:pPr>
        <w:spacing w:after="0" w:line="480" w:lineRule="auto"/>
        <w:jc w:val="center"/>
      </w:pPr>
      <w:r>
        <w:rPr>
          <w:rFonts w:ascii="Times New Roman" w:eastAsia="Times New Roman" w:hAnsi="Times New Roman" w:cs="Times New Roman"/>
          <w:sz w:val="24"/>
        </w:rPr>
        <w:t>Samantha M. Seaman, Loyola University Chicago</w:t>
      </w:r>
    </w:p>
    <w:p w:rsidR="00FE0965" w:rsidRDefault="00FE0965">
      <w:pPr>
        <w:spacing w:after="0" w:line="480" w:lineRule="auto"/>
        <w:ind w:firstLine="720"/>
      </w:pPr>
    </w:p>
    <w:p w:rsidR="00FE0965" w:rsidRDefault="00FE0965">
      <w:pPr>
        <w:spacing w:after="0" w:line="480" w:lineRule="auto"/>
        <w:ind w:firstLine="720"/>
      </w:pPr>
    </w:p>
    <w:p w:rsidR="00FE0965" w:rsidRDefault="00FE0965">
      <w:pPr>
        <w:spacing w:after="0" w:line="480" w:lineRule="auto"/>
        <w:ind w:firstLine="720"/>
      </w:pPr>
    </w:p>
    <w:p w:rsidR="00FE0965" w:rsidRDefault="00FE0965">
      <w:pPr>
        <w:spacing w:after="0" w:line="480" w:lineRule="auto"/>
        <w:ind w:firstLine="720"/>
      </w:pPr>
    </w:p>
    <w:p w:rsidR="00FE0965" w:rsidRDefault="00FE0965">
      <w:pPr>
        <w:spacing w:after="0" w:line="480" w:lineRule="auto"/>
        <w:ind w:firstLine="720"/>
      </w:pPr>
    </w:p>
    <w:p w:rsidR="00FE0965" w:rsidRDefault="00FE0965">
      <w:pPr>
        <w:spacing w:after="0" w:line="480" w:lineRule="auto"/>
        <w:ind w:firstLine="720"/>
      </w:pPr>
    </w:p>
    <w:p w:rsidR="00FE0965" w:rsidRDefault="00FE0965">
      <w:pPr>
        <w:spacing w:after="0" w:line="480" w:lineRule="auto"/>
        <w:ind w:firstLine="720"/>
      </w:pPr>
    </w:p>
    <w:p w:rsidR="00FE0965" w:rsidRDefault="00FE0965">
      <w:pPr>
        <w:spacing w:after="0" w:line="480" w:lineRule="auto"/>
        <w:ind w:firstLine="720"/>
      </w:pPr>
    </w:p>
    <w:p w:rsidR="00FE0965" w:rsidRDefault="00FE0965">
      <w:pPr>
        <w:spacing w:after="0" w:line="480" w:lineRule="auto"/>
        <w:ind w:firstLine="720"/>
      </w:pPr>
    </w:p>
    <w:p w:rsidR="00FE0965" w:rsidRDefault="00FE0965">
      <w:pPr>
        <w:spacing w:after="0" w:line="480" w:lineRule="auto"/>
      </w:pPr>
    </w:p>
    <w:p w:rsidR="00FE0965" w:rsidRDefault="00FE0965">
      <w:pPr>
        <w:spacing w:after="0" w:line="480" w:lineRule="auto"/>
        <w:ind w:firstLine="720"/>
      </w:pPr>
    </w:p>
    <w:p w:rsidR="00FE0965" w:rsidRDefault="00FE0965">
      <w:pPr>
        <w:spacing w:after="0" w:line="480" w:lineRule="auto"/>
      </w:pPr>
    </w:p>
    <w:p w:rsidR="00FE0965" w:rsidRDefault="00A0125B">
      <w:pPr>
        <w:spacing w:after="0" w:line="480" w:lineRule="auto"/>
        <w:ind w:firstLine="720"/>
      </w:pPr>
      <w:r>
        <w:rPr>
          <w:rFonts w:ascii="Times New Roman" w:eastAsia="Times New Roman" w:hAnsi="Times New Roman" w:cs="Times New Roman"/>
          <w:sz w:val="24"/>
        </w:rPr>
        <w:lastRenderedPageBreak/>
        <w:t>The deleterious effects of climate change have been known since 1896, when Swedish chemist Svante Arrehenius first described the greenhouse gas effect that traps the Sun’s rays in carbon dioxide and other gases, leading to an increase in global temperature</w:t>
      </w:r>
      <w:r>
        <w:rPr>
          <w:rFonts w:ascii="Times New Roman" w:eastAsia="Times New Roman" w:hAnsi="Times New Roman" w:cs="Times New Roman"/>
          <w:sz w:val="24"/>
        </w:rPr>
        <w:t>. However, the contributions that human society made to this effect have only recently been discovered. In 1995, the Intergovernmental Panel on Climate Change (IPCC) conducted an Assessment Report that provided evidence widely accepted by the global scient</w:t>
      </w:r>
      <w:r>
        <w:rPr>
          <w:rFonts w:ascii="Times New Roman" w:eastAsia="Times New Roman" w:hAnsi="Times New Roman" w:cs="Times New Roman"/>
          <w:sz w:val="24"/>
        </w:rPr>
        <w:t>ific community that 1) the global temperature has sharply increased in the last one hundred years, and 2) that the causes are largely anthropogenic. The global temperature increase is largely connected with pollution from industrialization, as more and mor</w:t>
      </w:r>
      <w:r>
        <w:rPr>
          <w:rFonts w:ascii="Times New Roman" w:eastAsia="Times New Roman" w:hAnsi="Times New Roman" w:cs="Times New Roman"/>
          <w:sz w:val="24"/>
        </w:rPr>
        <w:t xml:space="preserve">e of the world’s countries become developed economically. </w:t>
      </w:r>
    </w:p>
    <w:p w:rsidR="00FE0965" w:rsidRDefault="00A0125B">
      <w:pPr>
        <w:spacing w:after="0" w:line="480" w:lineRule="auto"/>
        <w:ind w:firstLine="720"/>
      </w:pPr>
      <w:r>
        <w:rPr>
          <w:rFonts w:ascii="Times New Roman" w:eastAsia="Times New Roman" w:hAnsi="Times New Roman" w:cs="Times New Roman"/>
          <w:sz w:val="24"/>
        </w:rPr>
        <w:t>This problem is collective in nature, and could not be solved by one country alone. States needed to cooperate in order to devise a plan to stop man-made causes of global warming. In 1997 the third</w:t>
      </w:r>
      <w:r>
        <w:rPr>
          <w:rFonts w:ascii="Times New Roman" w:eastAsia="Times New Roman" w:hAnsi="Times New Roman" w:cs="Times New Roman"/>
          <w:sz w:val="24"/>
        </w:rPr>
        <w:t xml:space="preserve"> Conference of the Parties (COP) meeting produced the landmark treaty on climate change in the Kyoto Protocol. During the process of negotiations, state leaders came together to address this global problem.  The treaty bound states to reduce carbon emissio</w:t>
      </w:r>
      <w:r>
        <w:rPr>
          <w:rFonts w:ascii="Times New Roman" w:eastAsia="Times New Roman" w:hAnsi="Times New Roman" w:cs="Times New Roman"/>
          <w:sz w:val="24"/>
        </w:rPr>
        <w:t xml:space="preserve">ns, and mitigate anthropogenic causes of global warming. </w:t>
      </w:r>
    </w:p>
    <w:p w:rsidR="00FE0965" w:rsidRDefault="00A0125B">
      <w:pPr>
        <w:spacing w:after="0" w:line="480" w:lineRule="auto"/>
        <w:ind w:firstLine="720"/>
      </w:pPr>
      <w:r>
        <w:rPr>
          <w:rFonts w:ascii="Times New Roman" w:eastAsia="Times New Roman" w:hAnsi="Times New Roman" w:cs="Times New Roman"/>
          <w:sz w:val="24"/>
        </w:rPr>
        <w:t xml:space="preserve"> The UNFCCC was created at the Earth Summit in 1992, and entered into force in 1994. The Kyoto Protocol was first negotiated at a UNFCCC annual Conference of the Parties (COP) in 1997, and entered i</w:t>
      </w:r>
      <w:r>
        <w:rPr>
          <w:rFonts w:ascii="Times New Roman" w:eastAsia="Times New Roman" w:hAnsi="Times New Roman" w:cs="Times New Roman"/>
          <w:sz w:val="24"/>
        </w:rPr>
        <w:t xml:space="preserve">nto force in 2005. The end of the first commitment period was 2012. States were bound to reduce greenhouse gas (GHG) emissions to specific target levels by this point. This paper will examine treaty compliance using the Kyoto Protocol as a case study. The </w:t>
      </w:r>
      <w:r>
        <w:rPr>
          <w:rFonts w:ascii="Times New Roman" w:eastAsia="Times New Roman" w:hAnsi="Times New Roman" w:cs="Times New Roman"/>
          <w:sz w:val="24"/>
        </w:rPr>
        <w:t xml:space="preserve">research puzzle focuses on state compliance variation of international environmental treaties. What factors lead some states to be more compliant than others? </w:t>
      </w:r>
    </w:p>
    <w:p w:rsidR="00FE0965" w:rsidRDefault="00FE0965">
      <w:pPr>
        <w:spacing w:after="0" w:line="240" w:lineRule="auto"/>
      </w:pPr>
    </w:p>
    <w:p w:rsidR="00FE0965" w:rsidRDefault="00A0125B">
      <w:pPr>
        <w:spacing w:after="0" w:line="480" w:lineRule="auto"/>
        <w:jc w:val="center"/>
      </w:pPr>
      <w:r>
        <w:rPr>
          <w:rFonts w:ascii="Times New Roman" w:eastAsia="Times New Roman" w:hAnsi="Times New Roman" w:cs="Times New Roman"/>
          <w:b/>
          <w:sz w:val="24"/>
        </w:rPr>
        <w:lastRenderedPageBreak/>
        <w:t>EXISTING LITERATURE</w:t>
      </w:r>
    </w:p>
    <w:p w:rsidR="00FE0965" w:rsidRDefault="00A0125B">
      <w:pPr>
        <w:spacing w:line="480" w:lineRule="auto"/>
      </w:pPr>
      <w:r>
        <w:rPr>
          <w:rFonts w:ascii="Times New Roman" w:eastAsia="Times New Roman" w:hAnsi="Times New Roman" w:cs="Times New Roman"/>
          <w:i/>
          <w:sz w:val="24"/>
        </w:rPr>
        <w:t xml:space="preserve">I. Tragedy of the Commons </w:t>
      </w:r>
    </w:p>
    <w:p w:rsidR="00FE0965" w:rsidRDefault="00A0125B">
      <w:pPr>
        <w:spacing w:after="0" w:line="480" w:lineRule="auto"/>
      </w:pPr>
      <w:r>
        <w:rPr>
          <w:rFonts w:ascii="Times New Roman" w:eastAsia="Times New Roman" w:hAnsi="Times New Roman" w:cs="Times New Roman"/>
          <w:sz w:val="24"/>
        </w:rPr>
        <w:tab/>
      </w:r>
      <w:r>
        <w:rPr>
          <w:rFonts w:ascii="Times New Roman" w:eastAsia="Times New Roman" w:hAnsi="Times New Roman" w:cs="Times New Roman"/>
          <w:sz w:val="24"/>
        </w:rPr>
        <w:t xml:space="preserve">Institutions are important to ameliorating the tragedy of the commons problem in the anarchic international system. The causes of non-compliance are largely framed as a collective action problem. Individuals in large groups choose to free-ride rather than </w:t>
      </w:r>
      <w:r>
        <w:rPr>
          <w:rFonts w:ascii="Times New Roman" w:eastAsia="Times New Roman" w:hAnsi="Times New Roman" w:cs="Times New Roman"/>
          <w:sz w:val="24"/>
        </w:rPr>
        <w:t>cooperate to reach a common goal (Olsen, 1965). This problem is common in environmental treaties. It is often referred to at the “tragedy of the commons” and results in the depletion of a resource from overuse due to a lack of responsibility for the proper</w:t>
      </w:r>
      <w:r>
        <w:rPr>
          <w:rFonts w:ascii="Times New Roman" w:eastAsia="Times New Roman" w:hAnsi="Times New Roman" w:cs="Times New Roman"/>
          <w:sz w:val="24"/>
        </w:rPr>
        <w:t>ty (because the property is not owned by anyone). Hardin (1968) connected this problem to pollution by showing how users put something into the commons rather than taking resources out: sewage, chemicals, noxious fumes, radioactive wastes, etc. (1245). “Th</w:t>
      </w:r>
      <w:r>
        <w:rPr>
          <w:rFonts w:ascii="Times New Roman" w:eastAsia="Times New Roman" w:hAnsi="Times New Roman" w:cs="Times New Roman"/>
          <w:sz w:val="24"/>
        </w:rPr>
        <w:t>e calculations of utility are the same as before. The rational man finds that his share of the cost of the wastes he discharges into the commons is less than the cost of purifying his wastes before releasing them” (Hardin, p.1245). The problem of pollution</w:t>
      </w:r>
      <w:r>
        <w:rPr>
          <w:rFonts w:ascii="Times New Roman" w:eastAsia="Times New Roman" w:hAnsi="Times New Roman" w:cs="Times New Roman"/>
          <w:sz w:val="24"/>
        </w:rPr>
        <w:t xml:space="preserve"> was also connected to population growth—as more polluters damaged the commons, the resources became irreparably depleted. Hardin (1998) called for laws to limit the depletion of environmental resources, especially concerning fisheries. His answer was to a</w:t>
      </w:r>
      <w:r>
        <w:rPr>
          <w:rFonts w:ascii="Times New Roman" w:eastAsia="Times New Roman" w:hAnsi="Times New Roman" w:cs="Times New Roman"/>
          <w:sz w:val="24"/>
        </w:rPr>
        <w:t>ssign property rights and limit use of resources to prevent exploitation. Institutions do this by having states ratify international treaties that assign responsibilities to states, and then enforce them. This has led to a focus on the role of institutions</w:t>
      </w:r>
      <w:r>
        <w:rPr>
          <w:rFonts w:ascii="Times New Roman" w:eastAsia="Times New Roman" w:hAnsi="Times New Roman" w:cs="Times New Roman"/>
          <w:sz w:val="24"/>
        </w:rPr>
        <w:t xml:space="preserve"> in environmental policy literature. </w:t>
      </w:r>
    </w:p>
    <w:p w:rsidR="00FE0965" w:rsidRDefault="00A0125B">
      <w:pPr>
        <w:spacing w:after="0" w:line="480" w:lineRule="auto"/>
      </w:pPr>
      <w:r>
        <w:rPr>
          <w:rFonts w:ascii="Times New Roman" w:eastAsia="Times New Roman" w:hAnsi="Times New Roman" w:cs="Times New Roman"/>
          <w:i/>
          <w:sz w:val="24"/>
        </w:rPr>
        <w:t xml:space="preserve">III. Compliance Literature </w:t>
      </w:r>
    </w:p>
    <w:p w:rsidR="00FE0965" w:rsidRDefault="00A0125B">
      <w:pPr>
        <w:spacing w:after="0" w:line="480" w:lineRule="auto"/>
      </w:pPr>
      <w:r>
        <w:rPr>
          <w:rFonts w:ascii="Times New Roman" w:eastAsia="Times New Roman" w:hAnsi="Times New Roman" w:cs="Times New Roman"/>
          <w:sz w:val="24"/>
        </w:rPr>
        <w:tab/>
        <w:t xml:space="preserve">The literature on compliance in international agreements shows that regime type, economic development, and issue linkages  will be important factors in achieving compliant </w:t>
      </w:r>
      <w:r>
        <w:rPr>
          <w:rFonts w:ascii="Times New Roman" w:eastAsia="Times New Roman" w:hAnsi="Times New Roman" w:cs="Times New Roman"/>
          <w:sz w:val="24"/>
        </w:rPr>
        <w:lastRenderedPageBreak/>
        <w:t>outcomes. Hathawa</w:t>
      </w:r>
      <w:r>
        <w:rPr>
          <w:rFonts w:ascii="Times New Roman" w:eastAsia="Times New Roman" w:hAnsi="Times New Roman" w:cs="Times New Roman"/>
          <w:sz w:val="24"/>
        </w:rPr>
        <w:t>y (2007) showed how regime type was positively correlated to ratifying and complying with international human rights treaties. In this model, states tended to already have human rights values in place, and had a clean record of violations comparatively. Al</w:t>
      </w:r>
      <w:r>
        <w:rPr>
          <w:rFonts w:ascii="Times New Roman" w:eastAsia="Times New Roman" w:hAnsi="Times New Roman" w:cs="Times New Roman"/>
          <w:sz w:val="24"/>
        </w:rPr>
        <w:t xml:space="preserve">so, domestic institutions held states accountable to implementing the treaty. Simmons (1998) also looked at the role of domestic regimes in complying with international agreements. She also found that democracies were more likely to comply with agreements </w:t>
      </w:r>
      <w:r>
        <w:rPr>
          <w:rFonts w:ascii="Times New Roman" w:eastAsia="Times New Roman" w:hAnsi="Times New Roman" w:cs="Times New Roman"/>
          <w:sz w:val="24"/>
        </w:rPr>
        <w:t>they signed. However, Simmons attributed the causes of compliance to democratic legalism: democracies were more likely to respect rule of law, promote compromises, and utilize processes of adjudication fairly than other regime types—processes crucial to co</w:t>
      </w:r>
      <w:r>
        <w:rPr>
          <w:rFonts w:ascii="Times New Roman" w:eastAsia="Times New Roman" w:hAnsi="Times New Roman" w:cs="Times New Roman"/>
          <w:sz w:val="24"/>
        </w:rPr>
        <w:t>mpliance (83). Democracies are also more constrained by domestic interest groups than authoritarian states. In democracies, the government is held accountable to constituents who re-elect it, and has greater opportunities for opposition groups to participa</w:t>
      </w:r>
      <w:r>
        <w:rPr>
          <w:rFonts w:ascii="Times New Roman" w:eastAsia="Times New Roman" w:hAnsi="Times New Roman" w:cs="Times New Roman"/>
          <w:sz w:val="24"/>
        </w:rPr>
        <w:t xml:space="preserve">te, creating a more inclusive political system than authoritarian governments do (Driesen 2006; Putnam 1993; Dahl 1971). </w:t>
      </w:r>
    </w:p>
    <w:p w:rsidR="00FE0965" w:rsidRDefault="00A0125B">
      <w:pPr>
        <w:spacing w:after="0" w:line="480" w:lineRule="auto"/>
        <w:ind w:firstLine="720"/>
      </w:pPr>
      <w:r>
        <w:rPr>
          <w:rFonts w:ascii="Times New Roman" w:eastAsia="Times New Roman" w:hAnsi="Times New Roman" w:cs="Times New Roman"/>
          <w:sz w:val="24"/>
        </w:rPr>
        <w:t>States are incentivized to comply when one issue in a treaty is linked to another area of benefit or interest to a state. For example,</w:t>
      </w:r>
      <w:r>
        <w:rPr>
          <w:rFonts w:ascii="Times New Roman" w:eastAsia="Times New Roman" w:hAnsi="Times New Roman" w:cs="Times New Roman"/>
          <w:sz w:val="24"/>
        </w:rPr>
        <w:t xml:space="preserve"> when states trade with one another they are incentivized to cooperate in other areas, like security, as well, since they may punish one another for non-cooperative behavior through sanctions. Functionalists focused on the “spillover effects” of cooperatio</w:t>
      </w:r>
      <w:r>
        <w:rPr>
          <w:rFonts w:ascii="Times New Roman" w:eastAsia="Times New Roman" w:hAnsi="Times New Roman" w:cs="Times New Roman"/>
          <w:sz w:val="24"/>
        </w:rPr>
        <w:t>n in one area leading to increased cooperation in other areas (Ernst Haas 1964; Mitrany 1965). More recently, Neoliberal institutionalists look at how cooperation is embedded in actors through institutional rules and decision-making procedures (Keohane and</w:t>
      </w:r>
      <w:r>
        <w:rPr>
          <w:rFonts w:ascii="Times New Roman" w:eastAsia="Times New Roman" w:hAnsi="Times New Roman" w:cs="Times New Roman"/>
          <w:sz w:val="24"/>
        </w:rPr>
        <w:t xml:space="preserve"> Nye 1977; Keohane 1984; Simmons and Martin 2002). In this theory, actors come to adapt their behavior according to the rules laid out by international institutions in order to achieve the goals they want through said institutions. In this theory, institut</w:t>
      </w:r>
      <w:r>
        <w:rPr>
          <w:rFonts w:ascii="Times New Roman" w:eastAsia="Times New Roman" w:hAnsi="Times New Roman" w:cs="Times New Roman"/>
          <w:sz w:val="24"/>
        </w:rPr>
        <w:t xml:space="preserve">ions are correlated to issue-linkage since they </w:t>
      </w:r>
      <w:r>
        <w:rPr>
          <w:rFonts w:ascii="Times New Roman" w:eastAsia="Times New Roman" w:hAnsi="Times New Roman" w:cs="Times New Roman"/>
          <w:sz w:val="24"/>
        </w:rPr>
        <w:lastRenderedPageBreak/>
        <w:t xml:space="preserve">have the power to connect issues through incentives and punishments. States in common institutions, like the UN, will therefore be more likely to cooperate in various issue areas. </w:t>
      </w:r>
    </w:p>
    <w:p w:rsidR="00FE0965" w:rsidRDefault="00A0125B">
      <w:pPr>
        <w:spacing w:after="0" w:line="480" w:lineRule="auto"/>
        <w:ind w:firstLine="720"/>
      </w:pPr>
      <w:r>
        <w:rPr>
          <w:rFonts w:ascii="Times New Roman" w:eastAsia="Times New Roman" w:hAnsi="Times New Roman" w:cs="Times New Roman"/>
          <w:sz w:val="24"/>
        </w:rPr>
        <w:t>Democracies are more likely</w:t>
      </w:r>
      <w:r>
        <w:rPr>
          <w:rFonts w:ascii="Times New Roman" w:eastAsia="Times New Roman" w:hAnsi="Times New Roman" w:cs="Times New Roman"/>
          <w:sz w:val="24"/>
        </w:rPr>
        <w:t xml:space="preserve"> to be developed, or to pursue economic policies that lead to development (Lipset 1959). The conditions that lead to development are fostered in democratic systems, like “industrialization, wealth, urbanization, and education” (Lipset, p.71). Inglehart and</w:t>
      </w:r>
      <w:r>
        <w:rPr>
          <w:rFonts w:ascii="Times New Roman" w:eastAsia="Times New Roman" w:hAnsi="Times New Roman" w:cs="Times New Roman"/>
          <w:sz w:val="24"/>
        </w:rPr>
        <w:t xml:space="preserve"> Welzel (2005) branched upon this work and found that post-modern values, like concern for the environment, are likely to be present in developed democracies, according World Values Survey (WVS) data. Democratization leads to socio-economic modernization, </w:t>
      </w:r>
      <w:r>
        <w:rPr>
          <w:rFonts w:ascii="Times New Roman" w:eastAsia="Times New Roman" w:hAnsi="Times New Roman" w:cs="Times New Roman"/>
          <w:sz w:val="24"/>
        </w:rPr>
        <w:t xml:space="preserve">which in turn, leads to valuation of self-expression and other post-materialist cultural values. Therefore, democracies should be more likely to ratify and comply with environmental treaties than other regime types. </w:t>
      </w:r>
    </w:p>
    <w:p w:rsidR="00FE0965" w:rsidRDefault="00A0125B">
      <w:pPr>
        <w:spacing w:after="0" w:line="480" w:lineRule="auto"/>
        <w:jc w:val="center"/>
      </w:pPr>
      <w:r>
        <w:rPr>
          <w:rFonts w:ascii="Times New Roman" w:eastAsia="Times New Roman" w:hAnsi="Times New Roman" w:cs="Times New Roman"/>
          <w:b/>
          <w:sz w:val="24"/>
        </w:rPr>
        <w:t>THEORY</w:t>
      </w:r>
    </w:p>
    <w:p w:rsidR="00FE0965" w:rsidRDefault="00A0125B">
      <w:pPr>
        <w:spacing w:after="0" w:line="480" w:lineRule="auto"/>
        <w:ind w:firstLine="720"/>
      </w:pPr>
      <w:r>
        <w:rPr>
          <w:rFonts w:ascii="Times New Roman" w:eastAsia="Times New Roman" w:hAnsi="Times New Roman" w:cs="Times New Roman"/>
          <w:sz w:val="24"/>
        </w:rPr>
        <w:t>The major theories used to expla</w:t>
      </w:r>
      <w:r>
        <w:rPr>
          <w:rFonts w:ascii="Times New Roman" w:eastAsia="Times New Roman" w:hAnsi="Times New Roman" w:cs="Times New Roman"/>
          <w:sz w:val="24"/>
        </w:rPr>
        <w:t xml:space="preserve">in why states ratify and comply with international treaties are neorealism, neoliberalism,  and constructivism. Theories tell us states’ motivations for joining and their intentions to comply (Cole, p.569). </w:t>
      </w:r>
    </w:p>
    <w:p w:rsidR="00FE0965" w:rsidRDefault="00A0125B">
      <w:pPr>
        <w:spacing w:after="0" w:line="480" w:lineRule="auto"/>
        <w:ind w:firstLine="720"/>
      </w:pPr>
      <w:r>
        <w:rPr>
          <w:rFonts w:ascii="Times New Roman" w:eastAsia="Times New Roman" w:hAnsi="Times New Roman" w:cs="Times New Roman"/>
          <w:i/>
          <w:sz w:val="24"/>
        </w:rPr>
        <w:t xml:space="preserve">Neo-Realism: </w:t>
      </w:r>
      <w:r>
        <w:rPr>
          <w:rFonts w:ascii="Times New Roman" w:eastAsia="Times New Roman" w:hAnsi="Times New Roman" w:cs="Times New Roman"/>
          <w:sz w:val="24"/>
        </w:rPr>
        <w:t>For realists, states ratify and com</w:t>
      </w:r>
      <w:r>
        <w:rPr>
          <w:rFonts w:ascii="Times New Roman" w:eastAsia="Times New Roman" w:hAnsi="Times New Roman" w:cs="Times New Roman"/>
          <w:sz w:val="24"/>
        </w:rPr>
        <w:t xml:space="preserve">ply with international treaties when “the anticipated benefits of doing so outweigh the costs” (Cole, p.570). Treaties are not very important for realists and are often viewed as “mere window dressing that serves as a shield for powerful liberal states to </w:t>
      </w:r>
      <w:r>
        <w:rPr>
          <w:rFonts w:ascii="Times New Roman" w:eastAsia="Times New Roman" w:hAnsi="Times New Roman" w:cs="Times New Roman"/>
          <w:sz w:val="24"/>
        </w:rPr>
        <w:t>promote and protect their interests in the international arena” (Avdeyeva, p.880). States are rational actors that behave in a way that maximizes their self-interest, namely, in acquiring or maintaining power. This idea is connected to state sovereignty an</w:t>
      </w:r>
      <w:r>
        <w:rPr>
          <w:rFonts w:ascii="Times New Roman" w:eastAsia="Times New Roman" w:hAnsi="Times New Roman" w:cs="Times New Roman"/>
          <w:sz w:val="24"/>
        </w:rPr>
        <w:t xml:space="preserve">d how it is bolstered through economic interaction and international security. States are unlikely to enter into agreements that decrease their sovereignty, economic status, or security </w:t>
      </w:r>
      <w:r>
        <w:rPr>
          <w:rFonts w:ascii="Times New Roman" w:eastAsia="Times New Roman" w:hAnsi="Times New Roman" w:cs="Times New Roman"/>
          <w:sz w:val="24"/>
        </w:rPr>
        <w:lastRenderedPageBreak/>
        <w:t>apparatus. If states do enter into treaty agreements, they do so for p</w:t>
      </w:r>
      <w:r>
        <w:rPr>
          <w:rFonts w:ascii="Times New Roman" w:eastAsia="Times New Roman" w:hAnsi="Times New Roman" w:cs="Times New Roman"/>
          <w:sz w:val="24"/>
        </w:rPr>
        <w:t>ragmatic reasons of coordination in an issue area that could decrease transaction costs, increase information, and punish free-riding (Waltz 1979; Arredondo and Garcia 2011; Meernik and Shairick 2011). States do not care about values and norms, according t</w:t>
      </w:r>
      <w:r>
        <w:rPr>
          <w:rFonts w:ascii="Times New Roman" w:eastAsia="Times New Roman" w:hAnsi="Times New Roman" w:cs="Times New Roman"/>
          <w:sz w:val="24"/>
        </w:rPr>
        <w:t xml:space="preserve">o realists. </w:t>
      </w:r>
    </w:p>
    <w:p w:rsidR="00FE0965" w:rsidRDefault="00A0125B">
      <w:pPr>
        <w:spacing w:after="0" w:line="480" w:lineRule="auto"/>
        <w:ind w:firstLine="720"/>
      </w:pPr>
      <w:r>
        <w:rPr>
          <w:rFonts w:ascii="Times New Roman" w:eastAsia="Times New Roman" w:hAnsi="Times New Roman" w:cs="Times New Roman"/>
          <w:i/>
          <w:sz w:val="24"/>
        </w:rPr>
        <w:t xml:space="preserve">Neo-Liberalism: </w:t>
      </w:r>
      <w:r>
        <w:rPr>
          <w:rFonts w:ascii="Times New Roman" w:eastAsia="Times New Roman" w:hAnsi="Times New Roman" w:cs="Times New Roman"/>
          <w:sz w:val="24"/>
        </w:rPr>
        <w:t xml:space="preserve">Neo-liberal theory predicts that states ratify and comply with international treaties to “reinforce domestic policies and reforms” (Cole, p.571). In this theory, states are also rational actors behaving in a way that maximizes </w:t>
      </w:r>
      <w:r>
        <w:rPr>
          <w:rFonts w:ascii="Times New Roman" w:eastAsia="Times New Roman" w:hAnsi="Times New Roman" w:cs="Times New Roman"/>
          <w:sz w:val="24"/>
        </w:rPr>
        <w:t>self-interest. However, Neo-liberalism focuses on reputational costs, technical capacities and information provided by institutions, and respect for the rule of law in domestic application (Simmons, pp.83-4). Neo-liberalism also looks at ways that institut</w:t>
      </w:r>
      <w:r>
        <w:rPr>
          <w:rFonts w:ascii="Times New Roman" w:eastAsia="Times New Roman" w:hAnsi="Times New Roman" w:cs="Times New Roman"/>
          <w:sz w:val="24"/>
        </w:rPr>
        <w:t>ions coordinate state action regarding distributional gains over time by providing information about the capacities of members over time (Keohane and Martin, 1995, p.45).</w:t>
      </w:r>
    </w:p>
    <w:p w:rsidR="00FE0965" w:rsidRDefault="00A0125B">
      <w:pPr>
        <w:spacing w:after="0" w:line="480" w:lineRule="auto"/>
        <w:ind w:firstLine="720"/>
      </w:pPr>
      <w:r>
        <w:rPr>
          <w:rFonts w:ascii="Times New Roman" w:eastAsia="Times New Roman" w:hAnsi="Times New Roman" w:cs="Times New Roman"/>
          <w:i/>
          <w:sz w:val="24"/>
        </w:rPr>
        <w:t xml:space="preserve">Constructivism: </w:t>
      </w:r>
      <w:r>
        <w:rPr>
          <w:rFonts w:ascii="Times New Roman" w:eastAsia="Times New Roman" w:hAnsi="Times New Roman" w:cs="Times New Roman"/>
          <w:sz w:val="24"/>
        </w:rPr>
        <w:t>Constructivism predicts that states ratify and comply with internatio</w:t>
      </w:r>
      <w:r>
        <w:rPr>
          <w:rFonts w:ascii="Times New Roman" w:eastAsia="Times New Roman" w:hAnsi="Times New Roman" w:cs="Times New Roman"/>
          <w:sz w:val="24"/>
        </w:rPr>
        <w:t>nal treaties to “reaffirm a sincere commitment to treaty principles” (Cole, p. 571). There are “standards of appropriate conduct” that are “socially constructed reference points against which state behavior can be gauged” (Simmons, p.85). States will ratif</w:t>
      </w:r>
      <w:r>
        <w:rPr>
          <w:rFonts w:ascii="Times New Roman" w:eastAsia="Times New Roman" w:hAnsi="Times New Roman" w:cs="Times New Roman"/>
          <w:sz w:val="24"/>
        </w:rPr>
        <w:t>y treaties because they believe in them. For example, democratic states are more likely to ratify human rights treaties, according to constructivist theory. According to Frank (1999), states are more likely to hold certain beliefs, like environmental prote</w:t>
      </w:r>
      <w:r>
        <w:rPr>
          <w:rFonts w:ascii="Times New Roman" w:eastAsia="Times New Roman" w:hAnsi="Times New Roman" w:cs="Times New Roman"/>
          <w:sz w:val="24"/>
        </w:rPr>
        <w:t>ction, when they have greater linkages to world society through communication, trade, and NGOs. Dense linkages increase the likelihood of ratifying and complying with a treaty. Wotipka and Tsutus (2008) add to this idea of linkages by arguing that normativ</w:t>
      </w:r>
      <w:r>
        <w:rPr>
          <w:rFonts w:ascii="Times New Roman" w:eastAsia="Times New Roman" w:hAnsi="Times New Roman" w:cs="Times New Roman"/>
          <w:sz w:val="24"/>
        </w:rPr>
        <w:t xml:space="preserve">e pressures from international society will influence states’ decision to ratify and comply with international treaties. Constructivist theory also captures the divide between </w:t>
      </w:r>
      <w:r>
        <w:rPr>
          <w:rFonts w:ascii="Times New Roman" w:eastAsia="Times New Roman" w:hAnsi="Times New Roman" w:cs="Times New Roman"/>
          <w:sz w:val="24"/>
        </w:rPr>
        <w:lastRenderedPageBreak/>
        <w:t>developed and developing states that has stalled much of the negotiating on Kyot</w:t>
      </w:r>
      <w:r>
        <w:rPr>
          <w:rFonts w:ascii="Times New Roman" w:eastAsia="Times New Roman" w:hAnsi="Times New Roman" w:cs="Times New Roman"/>
          <w:sz w:val="24"/>
        </w:rPr>
        <w:t>o (Zhao 2005; Moore 2012). Many developing states seek restitution for the damage done by earlier industrialization in developed states. Constructivist theory captures their identity as victims in this issue area.</w:t>
      </w:r>
    </w:p>
    <w:p w:rsidR="00FE0965" w:rsidRDefault="00A0125B">
      <w:pPr>
        <w:spacing w:after="0" w:line="480" w:lineRule="auto"/>
        <w:ind w:firstLine="720"/>
      </w:pPr>
      <w:r>
        <w:rPr>
          <w:rFonts w:ascii="Times New Roman" w:eastAsia="Times New Roman" w:hAnsi="Times New Roman" w:cs="Times New Roman"/>
          <w:i/>
          <w:sz w:val="24"/>
        </w:rPr>
        <w:t xml:space="preserve">Institutionalism: </w:t>
      </w:r>
      <w:r>
        <w:rPr>
          <w:rFonts w:ascii="Times New Roman" w:eastAsia="Times New Roman" w:hAnsi="Times New Roman" w:cs="Times New Roman"/>
          <w:sz w:val="24"/>
        </w:rPr>
        <w:t>Finally, for institution</w:t>
      </w:r>
      <w:r>
        <w:rPr>
          <w:rFonts w:ascii="Times New Roman" w:eastAsia="Times New Roman" w:hAnsi="Times New Roman" w:cs="Times New Roman"/>
          <w:sz w:val="24"/>
        </w:rPr>
        <w:t>alism, states join international treaties “as an expression of legitimate statehood” and in order to be taken seriously (Cole, p.572).  This is especially important for new states, or newly democratic states. Signing a treaty could signal that they have de</w:t>
      </w:r>
      <w:r>
        <w:rPr>
          <w:rFonts w:ascii="Times New Roman" w:eastAsia="Times New Roman" w:hAnsi="Times New Roman" w:cs="Times New Roman"/>
          <w:sz w:val="24"/>
        </w:rPr>
        <w:t>mocratic values and are not going to slide back into authoritarianism in the future. States are “social actors driven by a desire to conform with social pressures, be a member of a large group of states which they deem legitimate, and behave appropriately”</w:t>
      </w:r>
      <w:r>
        <w:rPr>
          <w:rFonts w:ascii="Times New Roman" w:eastAsia="Times New Roman" w:hAnsi="Times New Roman" w:cs="Times New Roman"/>
          <w:sz w:val="24"/>
        </w:rPr>
        <w:t xml:space="preserve"> (Avedeyeva, p.893).   This theory puts emphasis on “world cultural models and scripts” (Cole, p.572). If a greater number of states, especially if they are powerful, are members of the treaty, a state is more likely to also join the treaty to be taken ser</w:t>
      </w:r>
      <w:r>
        <w:rPr>
          <w:rFonts w:ascii="Times New Roman" w:eastAsia="Times New Roman" w:hAnsi="Times New Roman" w:cs="Times New Roman"/>
          <w:sz w:val="24"/>
        </w:rPr>
        <w:t>iously by these states.</w:t>
      </w:r>
    </w:p>
    <w:p w:rsidR="00FE0965" w:rsidRDefault="00A0125B">
      <w:pPr>
        <w:spacing w:after="0" w:line="480" w:lineRule="auto"/>
        <w:ind w:firstLine="720"/>
      </w:pPr>
      <w:r>
        <w:rPr>
          <w:rFonts w:ascii="Times New Roman" w:eastAsia="Times New Roman" w:hAnsi="Times New Roman" w:cs="Times New Roman"/>
          <w:sz w:val="24"/>
        </w:rPr>
        <w:t>Given the problematic nature of the Tragedy of the Commons and common pool resources, it is important to research ways in which voluntary treaties and institutions contribute to a solution. International voluntary treaties, like the</w:t>
      </w:r>
      <w:r>
        <w:rPr>
          <w:rFonts w:ascii="Times New Roman" w:eastAsia="Times New Roman" w:hAnsi="Times New Roman" w:cs="Times New Roman"/>
          <w:sz w:val="24"/>
        </w:rPr>
        <w:t xml:space="preserve"> Kyoto protocol, help to ameliorate collective action dilemmas. My research will look at the variation among states with compliance of international climate change treaties to answer this question and thereby supplement the literature.</w:t>
      </w:r>
    </w:p>
    <w:p w:rsidR="00FE0965" w:rsidRDefault="00FE0965">
      <w:pPr>
        <w:spacing w:after="0" w:line="240" w:lineRule="auto"/>
      </w:pPr>
    </w:p>
    <w:p w:rsidR="00FE0965" w:rsidRDefault="00A0125B">
      <w:pPr>
        <w:spacing w:after="0" w:line="240" w:lineRule="auto"/>
        <w:jc w:val="center"/>
      </w:pPr>
      <w:r>
        <w:rPr>
          <w:rFonts w:ascii="Times New Roman" w:eastAsia="Times New Roman" w:hAnsi="Times New Roman" w:cs="Times New Roman"/>
          <w:b/>
          <w:sz w:val="24"/>
        </w:rPr>
        <w:t>DESIGN OF THE STUDY</w:t>
      </w:r>
    </w:p>
    <w:p w:rsidR="00FE0965" w:rsidRDefault="00FE0965">
      <w:pPr>
        <w:spacing w:after="0" w:line="240" w:lineRule="auto"/>
        <w:jc w:val="center"/>
      </w:pPr>
    </w:p>
    <w:p w:rsidR="00FE0965" w:rsidRDefault="00A0125B">
      <w:pPr>
        <w:spacing w:after="0" w:line="480" w:lineRule="auto"/>
        <w:ind w:firstLine="720"/>
      </w:pPr>
      <w:r>
        <w:rPr>
          <w:rFonts w:ascii="Times New Roman" w:eastAsia="Times New Roman" w:hAnsi="Times New Roman" w:cs="Times New Roman"/>
          <w:sz w:val="24"/>
        </w:rPr>
        <w:t xml:space="preserve">I tested treaty compliance by looking at one of the projects produced by the Kyoto Protocol, called “Land-Use, Land-Use Change, and Forestry” (LULUCF).   LULUCF activities </w:t>
      </w:r>
      <w:r>
        <w:rPr>
          <w:rFonts w:ascii="Times New Roman" w:eastAsia="Times New Roman" w:hAnsi="Times New Roman" w:cs="Times New Roman"/>
          <w:sz w:val="24"/>
        </w:rPr>
        <w:lastRenderedPageBreak/>
        <w:t>were first  laid out in Articles 3.3 and 3.4 of the Kyoto Protocol in 1990, and fu</w:t>
      </w:r>
      <w:r>
        <w:rPr>
          <w:rFonts w:ascii="Times New Roman" w:eastAsia="Times New Roman" w:hAnsi="Times New Roman" w:cs="Times New Roman"/>
          <w:sz w:val="24"/>
        </w:rPr>
        <w:t>rther defined in the Marrakesh Accords (COP7) in 2001 (“Background,” UNFCCC website). Its goal is to reduce state emissions in a cost-effective manner that focuses on increasing and maintaining carbon sinks such as forests, grasslands, and croplands  (“Bac</w:t>
      </w:r>
      <w:r>
        <w:rPr>
          <w:rFonts w:ascii="Times New Roman" w:eastAsia="Times New Roman" w:hAnsi="Times New Roman" w:cs="Times New Roman"/>
          <w:sz w:val="24"/>
        </w:rPr>
        <w:t>kground,” UNFCCC website). States decrease GHG emissions by implementing off-setting activities, like planting trees and through forest management. States also reduce emissions by actively reducing emissions by halting deforestation activities.</w:t>
      </w:r>
    </w:p>
    <w:p w:rsidR="00FE0965" w:rsidRDefault="00FE0965">
      <w:pPr>
        <w:spacing w:after="0" w:line="240" w:lineRule="auto"/>
      </w:pPr>
    </w:p>
    <w:p w:rsidR="00FE0965" w:rsidRDefault="00FE0965">
      <w:pPr>
        <w:spacing w:after="0" w:line="240" w:lineRule="auto"/>
      </w:pPr>
    </w:p>
    <w:p w:rsidR="00FE0965" w:rsidRDefault="00A0125B">
      <w:pPr>
        <w:spacing w:after="0" w:line="240" w:lineRule="auto"/>
        <w:jc w:val="center"/>
      </w:pPr>
      <w:r>
        <w:rPr>
          <w:rFonts w:ascii="Times New Roman" w:eastAsia="Times New Roman" w:hAnsi="Times New Roman" w:cs="Times New Roman"/>
          <w:b/>
          <w:sz w:val="24"/>
        </w:rPr>
        <w:t>METHODOLO</w:t>
      </w:r>
      <w:r>
        <w:rPr>
          <w:rFonts w:ascii="Times New Roman" w:eastAsia="Times New Roman" w:hAnsi="Times New Roman" w:cs="Times New Roman"/>
          <w:b/>
          <w:sz w:val="24"/>
        </w:rPr>
        <w:t>GY</w:t>
      </w:r>
    </w:p>
    <w:p w:rsidR="00FE0965" w:rsidRDefault="00A0125B">
      <w:pPr>
        <w:spacing w:line="240" w:lineRule="auto"/>
      </w:pPr>
      <w:r>
        <w:rPr>
          <w:rFonts w:ascii="Times New Roman" w:eastAsia="Times New Roman" w:hAnsi="Times New Roman" w:cs="Times New Roman"/>
          <w:i/>
          <w:sz w:val="24"/>
        </w:rPr>
        <w:t>I. Concepts</w:t>
      </w:r>
    </w:p>
    <w:p w:rsidR="00FE0965" w:rsidRDefault="00A0125B">
      <w:pPr>
        <w:ind w:left="720"/>
      </w:pPr>
      <w:r>
        <w:rPr>
          <w:rFonts w:ascii="Times New Roman" w:eastAsia="Times New Roman" w:hAnsi="Times New Roman" w:cs="Times New Roman"/>
          <w:i/>
          <w:sz w:val="24"/>
        </w:rPr>
        <w:t>i. Realism</w:t>
      </w:r>
      <w:r>
        <w:rPr>
          <w:rFonts w:ascii="Times New Roman" w:eastAsia="Times New Roman" w:hAnsi="Times New Roman" w:cs="Times New Roman"/>
          <w:sz w:val="24"/>
        </w:rPr>
        <w:t>: States are rational actors that will join treaties only if the benefits of joining outweigh the costs. States are likely to comply only if compliance does not affect their sovereignty, economic welfare, or international security. States are concerned wit</w:t>
      </w:r>
      <w:r>
        <w:rPr>
          <w:rFonts w:ascii="Times New Roman" w:eastAsia="Times New Roman" w:hAnsi="Times New Roman" w:cs="Times New Roman"/>
          <w:sz w:val="24"/>
        </w:rPr>
        <w:t xml:space="preserve">h relative as well as absolute gains to be had from cooperation, since today’s friend could be tomorrow’s adversary. </w:t>
      </w:r>
    </w:p>
    <w:p w:rsidR="00FE0965" w:rsidRDefault="00A0125B">
      <w:pPr>
        <w:ind w:left="720"/>
      </w:pPr>
      <w:r>
        <w:rPr>
          <w:rFonts w:ascii="Times New Roman" w:eastAsia="Times New Roman" w:hAnsi="Times New Roman" w:cs="Times New Roman"/>
          <w:i/>
          <w:sz w:val="24"/>
        </w:rPr>
        <w:t>ii. Liberalism:</w:t>
      </w:r>
      <w:r>
        <w:rPr>
          <w:rFonts w:ascii="Times New Roman" w:eastAsia="Times New Roman" w:hAnsi="Times New Roman" w:cs="Times New Roman"/>
          <w:sz w:val="24"/>
        </w:rPr>
        <w:t xml:space="preserve"> States are rational actors that seek to utilize institutions to decrease transaction and information costs that are higher</w:t>
      </w:r>
      <w:r>
        <w:rPr>
          <w:rFonts w:ascii="Times New Roman" w:eastAsia="Times New Roman" w:hAnsi="Times New Roman" w:cs="Times New Roman"/>
          <w:sz w:val="24"/>
        </w:rPr>
        <w:t xml:space="preserve"> on their own or bilaterally. States will ratify and comply with treaties that serve pragmatic purposes, such as coordinating mechanisms.States are concerned with absolute gains, and so worry most about cheating. </w:t>
      </w:r>
    </w:p>
    <w:p w:rsidR="00FE0965" w:rsidRDefault="00A0125B">
      <w:pPr>
        <w:ind w:left="720"/>
      </w:pPr>
      <w:r>
        <w:rPr>
          <w:rFonts w:ascii="Times New Roman" w:eastAsia="Times New Roman" w:hAnsi="Times New Roman" w:cs="Times New Roman"/>
          <w:i/>
          <w:sz w:val="24"/>
        </w:rPr>
        <w:t>iv. Constructivism:</w:t>
      </w:r>
      <w:r>
        <w:rPr>
          <w:rFonts w:ascii="Times New Roman" w:eastAsia="Times New Roman" w:hAnsi="Times New Roman" w:cs="Times New Roman"/>
          <w:sz w:val="24"/>
        </w:rPr>
        <w:t xml:space="preserve"> State behavior is guid</w:t>
      </w:r>
      <w:r>
        <w:rPr>
          <w:rFonts w:ascii="Times New Roman" w:eastAsia="Times New Roman" w:hAnsi="Times New Roman" w:cs="Times New Roman"/>
          <w:sz w:val="24"/>
        </w:rPr>
        <w:t>ed by socially-constructed normative values. States will ratify and comply with treaties that are aligned with their beliefs and identities. The process of interaction affects whether or not states trust each other. Norms of cooperation will aid in coopera</w:t>
      </w:r>
      <w:r>
        <w:rPr>
          <w:rFonts w:ascii="Times New Roman" w:eastAsia="Times New Roman" w:hAnsi="Times New Roman" w:cs="Times New Roman"/>
          <w:sz w:val="24"/>
        </w:rPr>
        <w:t xml:space="preserve">tion, whereas norms of distrust will deter it. </w:t>
      </w:r>
    </w:p>
    <w:p w:rsidR="00FE0965" w:rsidRDefault="00A0125B">
      <w:pPr>
        <w:spacing w:line="240" w:lineRule="auto"/>
      </w:pPr>
      <w:r>
        <w:rPr>
          <w:rFonts w:ascii="Times New Roman" w:eastAsia="Times New Roman" w:hAnsi="Times New Roman" w:cs="Times New Roman"/>
          <w:i/>
          <w:sz w:val="24"/>
        </w:rPr>
        <w:t>II. Variables</w:t>
      </w:r>
    </w:p>
    <w:p w:rsidR="00FE0965" w:rsidRDefault="00A0125B">
      <w:pPr>
        <w:spacing w:line="240" w:lineRule="auto"/>
      </w:pPr>
      <w:r>
        <w:rPr>
          <w:rFonts w:ascii="Times New Roman" w:eastAsia="Times New Roman" w:hAnsi="Times New Roman" w:cs="Times New Roman"/>
          <w:sz w:val="24"/>
        </w:rPr>
        <w:t>The dependent variable:</w:t>
      </w:r>
    </w:p>
    <w:p w:rsidR="00FE0965" w:rsidRDefault="00A0125B">
      <w:pPr>
        <w:spacing w:line="240" w:lineRule="auto"/>
      </w:pPr>
      <w:r>
        <w:rPr>
          <w:rFonts w:ascii="Times New Roman" w:eastAsia="Times New Roman" w:hAnsi="Times New Roman" w:cs="Times New Roman"/>
          <w:sz w:val="24"/>
        </w:rPr>
        <w:t>Variation on the outcome of  compliance with Kyoto Protocol target values for the LULUCF project.</w:t>
      </w:r>
    </w:p>
    <w:p w:rsidR="00FE0965" w:rsidRDefault="00A0125B">
      <w:pPr>
        <w:numPr>
          <w:ilvl w:val="0"/>
          <w:numId w:val="1"/>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above compliance</w:t>
      </w:r>
    </w:p>
    <w:p w:rsidR="00FE0965" w:rsidRDefault="00A0125B">
      <w:pPr>
        <w:numPr>
          <w:ilvl w:val="0"/>
          <w:numId w:val="1"/>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meets compliance</w:t>
      </w:r>
    </w:p>
    <w:p w:rsidR="00FE0965" w:rsidRDefault="00A0125B">
      <w:pPr>
        <w:numPr>
          <w:ilvl w:val="0"/>
          <w:numId w:val="1"/>
        </w:numPr>
        <w:spacing w:after="0" w:line="24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below compliance</w:t>
      </w:r>
    </w:p>
    <w:p w:rsidR="00FE0965" w:rsidRDefault="00A0125B">
      <w:pPr>
        <w:spacing w:line="480" w:lineRule="auto"/>
      </w:pPr>
      <w:r>
        <w:rPr>
          <w:rFonts w:ascii="Times New Roman" w:eastAsia="Times New Roman" w:hAnsi="Times New Roman" w:cs="Times New Roman"/>
          <w:sz w:val="24"/>
        </w:rPr>
        <w:lastRenderedPageBreak/>
        <w:t>This variable was coded based on the target values listed by the LULUCF project goals that states are legally bound to. If states were within five gigagrams of the target value, they were coded as compliant. If they were more than five units above or below</w:t>
      </w:r>
      <w:r>
        <w:rPr>
          <w:rFonts w:ascii="Times New Roman" w:eastAsia="Times New Roman" w:hAnsi="Times New Roman" w:cs="Times New Roman"/>
          <w:sz w:val="24"/>
        </w:rPr>
        <w:t xml:space="preserve">, they were coded as above compliance or below compliance, consecutively. </w:t>
      </w:r>
    </w:p>
    <w:p w:rsidR="00FE0965" w:rsidRDefault="00A0125B">
      <w:pPr>
        <w:spacing w:line="240" w:lineRule="auto"/>
      </w:pPr>
      <w:r>
        <w:rPr>
          <w:rFonts w:ascii="Times New Roman" w:eastAsia="Times New Roman" w:hAnsi="Times New Roman" w:cs="Times New Roman"/>
          <w:sz w:val="24"/>
        </w:rPr>
        <w:t>The independent variables include:</w:t>
      </w:r>
    </w:p>
    <w:p w:rsidR="00FE0965" w:rsidRDefault="00A0125B">
      <w:pPr>
        <w:spacing w:line="240" w:lineRule="auto"/>
        <w:ind w:left="720"/>
      </w:pPr>
      <w:r>
        <w:rPr>
          <w:rFonts w:ascii="Times New Roman" w:eastAsia="Times New Roman" w:hAnsi="Times New Roman" w:cs="Times New Roman"/>
          <w:sz w:val="24"/>
        </w:rPr>
        <w:t>a</w:t>
      </w:r>
      <w:r>
        <w:rPr>
          <w:rFonts w:ascii="Times New Roman" w:eastAsia="Times New Roman" w:hAnsi="Times New Roman" w:cs="Times New Roman"/>
          <w:sz w:val="24"/>
        </w:rPr>
        <w:t xml:space="preserve">. Market-based incentives: side payments, issue linkage, rate of trade in cap and trade system (Barrett and Stavins 2003). </w:t>
      </w:r>
      <w:r>
        <w:rPr>
          <w:rFonts w:ascii="Times New Roman" w:eastAsia="Times New Roman" w:hAnsi="Times New Roman" w:cs="Times New Roman"/>
          <w:sz w:val="24"/>
          <w:highlight w:val="yellow"/>
        </w:rPr>
        <w:t xml:space="preserve"> </w:t>
      </w:r>
    </w:p>
    <w:p w:rsidR="00FE0965" w:rsidRDefault="00A0125B">
      <w:pPr>
        <w:spacing w:line="240" w:lineRule="auto"/>
        <w:ind w:firstLine="720"/>
      </w:pPr>
      <w:r>
        <w:rPr>
          <w:rFonts w:ascii="Times New Roman" w:eastAsia="Times New Roman" w:hAnsi="Times New Roman" w:cs="Times New Roman"/>
          <w:sz w:val="24"/>
        </w:rPr>
        <w:t>b. Regime type: demo</w:t>
      </w:r>
      <w:r>
        <w:rPr>
          <w:rFonts w:ascii="Times New Roman" w:eastAsia="Times New Roman" w:hAnsi="Times New Roman" w:cs="Times New Roman"/>
          <w:sz w:val="24"/>
        </w:rPr>
        <w:t>cratic or authoritarian (Hathaway 2007) as captured by Polity 2 scores.</w:t>
      </w:r>
    </w:p>
    <w:p w:rsidR="00FE0965" w:rsidRDefault="00A0125B">
      <w:pPr>
        <w:spacing w:line="240" w:lineRule="auto"/>
        <w:ind w:left="720"/>
      </w:pPr>
      <w:r>
        <w:rPr>
          <w:rFonts w:ascii="Times New Roman" w:eastAsia="Times New Roman" w:hAnsi="Times New Roman" w:cs="Times New Roman"/>
          <w:sz w:val="24"/>
        </w:rPr>
        <w:t xml:space="preserve">c. GDP per capita, and GDP absolute as captured by the World Bank data. </w:t>
      </w:r>
    </w:p>
    <w:p w:rsidR="00FE0965" w:rsidRDefault="00A0125B">
      <w:pPr>
        <w:spacing w:line="480" w:lineRule="auto"/>
      </w:pPr>
      <w:r>
        <w:rPr>
          <w:rFonts w:ascii="Times New Roman" w:eastAsia="Times New Roman" w:hAnsi="Times New Roman" w:cs="Times New Roman"/>
          <w:sz w:val="24"/>
        </w:rPr>
        <w:t>The independent variables are a combination of factors said to be associated with treaty ratification and compl</w:t>
      </w:r>
      <w:r>
        <w:rPr>
          <w:rFonts w:ascii="Times New Roman" w:eastAsia="Times New Roman" w:hAnsi="Times New Roman" w:cs="Times New Roman"/>
          <w:sz w:val="24"/>
        </w:rPr>
        <w:t xml:space="preserve">iance. I will test them all to see whether one set accounts for more variation on the dependent variable than the others. </w:t>
      </w:r>
    </w:p>
    <w:p w:rsidR="00FE0965" w:rsidRDefault="00A0125B">
      <w:pPr>
        <w:spacing w:after="0" w:line="240" w:lineRule="auto"/>
      </w:pPr>
      <w:r>
        <w:rPr>
          <w:rFonts w:ascii="Times New Roman" w:eastAsia="Times New Roman" w:hAnsi="Times New Roman" w:cs="Times New Roman"/>
          <w:i/>
          <w:sz w:val="24"/>
        </w:rPr>
        <w:t>III. Hypotheses</w:t>
      </w:r>
    </w:p>
    <w:p w:rsidR="00FE0965" w:rsidRDefault="00FE0965">
      <w:pPr>
        <w:spacing w:after="0" w:line="240" w:lineRule="auto"/>
      </w:pPr>
    </w:p>
    <w:p w:rsidR="00FE0965" w:rsidRDefault="00A0125B">
      <w:pPr>
        <w:spacing w:line="240" w:lineRule="auto"/>
        <w:ind w:left="720"/>
      </w:pPr>
      <w:r>
        <w:rPr>
          <w:rFonts w:ascii="Times New Roman" w:eastAsia="Times New Roman" w:hAnsi="Times New Roman" w:cs="Times New Roman"/>
          <w:i/>
          <w:sz w:val="24"/>
        </w:rPr>
        <w:t>i. States are more likely to ratify the Kyoto Protocol if they are democracies than if they are authoritarian regime</w:t>
      </w:r>
      <w:r>
        <w:rPr>
          <w:rFonts w:ascii="Times New Roman" w:eastAsia="Times New Roman" w:hAnsi="Times New Roman" w:cs="Times New Roman"/>
          <w:i/>
          <w:sz w:val="24"/>
        </w:rPr>
        <w:t>s since they share democratic norms.</w:t>
      </w:r>
    </w:p>
    <w:p w:rsidR="00FE0965" w:rsidRDefault="00FE0965">
      <w:pPr>
        <w:spacing w:after="0" w:line="240" w:lineRule="auto"/>
        <w:ind w:left="720"/>
      </w:pPr>
    </w:p>
    <w:p w:rsidR="00FE0965" w:rsidRDefault="00A0125B">
      <w:pPr>
        <w:spacing w:after="0" w:line="240" w:lineRule="auto"/>
        <w:ind w:left="720"/>
      </w:pPr>
      <w:r>
        <w:rPr>
          <w:rFonts w:ascii="Times New Roman" w:eastAsia="Times New Roman" w:hAnsi="Times New Roman" w:cs="Times New Roman"/>
          <w:i/>
          <w:sz w:val="24"/>
        </w:rPr>
        <w:t xml:space="preserve">ii. States are more likely to comply if market-based incentives are set in place by the Protocol to facilitate trade, making compliance easier for states. </w:t>
      </w:r>
    </w:p>
    <w:p w:rsidR="00FE0965" w:rsidRDefault="00FE0965">
      <w:pPr>
        <w:spacing w:after="0" w:line="240" w:lineRule="auto"/>
        <w:ind w:left="720"/>
      </w:pPr>
    </w:p>
    <w:p w:rsidR="00FE0965" w:rsidRDefault="00A0125B">
      <w:pPr>
        <w:spacing w:after="0" w:line="240" w:lineRule="auto"/>
        <w:ind w:left="720"/>
      </w:pPr>
      <w:r>
        <w:rPr>
          <w:rFonts w:ascii="Times New Roman" w:eastAsia="Times New Roman" w:hAnsi="Times New Roman" w:cs="Times New Roman"/>
          <w:i/>
          <w:sz w:val="24"/>
        </w:rPr>
        <w:t>iii. The presence of a binding target for Annex I countries and absence of a binding target for non-Annex I countries causes countries to not ratify or enforce the Protocol, since the workload of reducing emissions is not evenly distributed.</w:t>
      </w:r>
    </w:p>
    <w:p w:rsidR="00FE0965" w:rsidRDefault="00FE0965">
      <w:pPr>
        <w:spacing w:after="0" w:line="240" w:lineRule="auto"/>
        <w:ind w:left="720"/>
      </w:pPr>
    </w:p>
    <w:p w:rsidR="00FE0965" w:rsidRDefault="00A0125B">
      <w:pPr>
        <w:spacing w:after="0" w:line="240" w:lineRule="auto"/>
        <w:ind w:left="720"/>
      </w:pPr>
      <w:r>
        <w:rPr>
          <w:rFonts w:ascii="Times New Roman" w:eastAsia="Times New Roman" w:hAnsi="Times New Roman" w:cs="Times New Roman"/>
          <w:i/>
          <w:sz w:val="24"/>
        </w:rPr>
        <w:t>iv. Developed</w:t>
      </w:r>
      <w:r>
        <w:rPr>
          <w:rFonts w:ascii="Times New Roman" w:eastAsia="Times New Roman" w:hAnsi="Times New Roman" w:cs="Times New Roman"/>
          <w:i/>
          <w:sz w:val="24"/>
        </w:rPr>
        <w:t xml:space="preserve"> states are more likely to implement the LULUCF successfully since they have greater resources to do so. </w:t>
      </w:r>
    </w:p>
    <w:p w:rsidR="00FE0965" w:rsidRDefault="00FE0965">
      <w:pPr>
        <w:spacing w:after="0" w:line="240" w:lineRule="auto"/>
        <w:ind w:left="720"/>
      </w:pPr>
    </w:p>
    <w:p w:rsidR="00FE0965" w:rsidRDefault="00A0125B">
      <w:pPr>
        <w:spacing w:line="240" w:lineRule="auto"/>
        <w:jc w:val="center"/>
      </w:pPr>
      <w:r>
        <w:rPr>
          <w:rFonts w:ascii="Times New Roman" w:eastAsia="Times New Roman" w:hAnsi="Times New Roman" w:cs="Times New Roman"/>
          <w:b/>
          <w:sz w:val="24"/>
        </w:rPr>
        <w:t>EMPIRICAL TESTS AND RESULTS</w:t>
      </w:r>
    </w:p>
    <w:p w:rsidR="00FE0965" w:rsidRDefault="00A0125B">
      <w:pPr>
        <w:spacing w:line="480" w:lineRule="auto"/>
      </w:pPr>
      <w:r>
        <w:rPr>
          <w:rFonts w:ascii="Times New Roman" w:eastAsia="Times New Roman" w:hAnsi="Times New Roman" w:cs="Times New Roman"/>
          <w:i/>
          <w:sz w:val="24"/>
        </w:rPr>
        <w:tab/>
      </w:r>
      <w:r>
        <w:rPr>
          <w:rFonts w:ascii="Times New Roman" w:eastAsia="Times New Roman" w:hAnsi="Times New Roman" w:cs="Times New Roman"/>
          <w:sz w:val="24"/>
        </w:rPr>
        <w:t xml:space="preserve">Data were obtained for Annex I states’ emissions levels from 1990 to 2012 from the UNFCCC. This was coded by the author </w:t>
      </w:r>
      <w:r>
        <w:rPr>
          <w:rFonts w:ascii="Times New Roman" w:eastAsia="Times New Roman" w:hAnsi="Times New Roman" w:cs="Times New Roman"/>
          <w:sz w:val="24"/>
        </w:rPr>
        <w:t xml:space="preserve">into a scale of compliance ranging from level one to </w:t>
      </w:r>
      <w:r>
        <w:rPr>
          <w:rFonts w:ascii="Times New Roman" w:eastAsia="Times New Roman" w:hAnsi="Times New Roman" w:cs="Times New Roman"/>
          <w:sz w:val="24"/>
        </w:rPr>
        <w:lastRenderedPageBreak/>
        <w:t>three: 1=GHG emission levels were reduced beyond the target level, 2=GHG emission levels were reduced within five points of the target level, 3=GHG emission levels were not reduced to the target level. T</w:t>
      </w:r>
      <w:r>
        <w:rPr>
          <w:rFonts w:ascii="Times New Roman" w:eastAsia="Times New Roman" w:hAnsi="Times New Roman" w:cs="Times New Roman"/>
          <w:sz w:val="24"/>
        </w:rPr>
        <w:t xml:space="preserve">he quantitative data was supplemented by qualitative evidence in the case studies section. </w:t>
      </w:r>
    </w:p>
    <w:p w:rsidR="00FE0965" w:rsidRDefault="00A0125B">
      <w:pPr>
        <w:spacing w:line="480" w:lineRule="auto"/>
      </w:pPr>
      <w:r>
        <w:rPr>
          <w:rFonts w:ascii="Times New Roman" w:eastAsia="Times New Roman" w:hAnsi="Times New Roman" w:cs="Times New Roman"/>
          <w:sz w:val="24"/>
        </w:rPr>
        <w:tab/>
        <w:t xml:space="preserve">State compliance is displayed in Figure 1. The data included emissions from 1990, when data collection began, to 2012, the most recent year available. </w:t>
      </w:r>
    </w:p>
    <w:p w:rsidR="00FE0965" w:rsidRDefault="00FE0965">
      <w:pPr>
        <w:spacing w:line="480" w:lineRule="auto"/>
      </w:pPr>
    </w:p>
    <w:p w:rsidR="00FE0965" w:rsidRDefault="00A0125B">
      <w:pPr>
        <w:spacing w:line="480" w:lineRule="auto"/>
      </w:pPr>
      <w:r>
        <w:rPr>
          <w:rFonts w:ascii="Times New Roman" w:eastAsia="Times New Roman" w:hAnsi="Times New Roman" w:cs="Times New Roman"/>
          <w:sz w:val="24"/>
        </w:rPr>
        <w:t>Figure 1.</w:t>
      </w:r>
    </w:p>
    <w:p w:rsidR="00FE0965" w:rsidRDefault="00A0125B">
      <w:pPr>
        <w:spacing w:after="0" w:line="288" w:lineRule="auto"/>
        <w:ind w:firstLine="720"/>
      </w:pPr>
      <w:r>
        <w:rPr>
          <w:noProof/>
        </w:rPr>
        <w:drawing>
          <wp:inline distT="114300" distB="114300" distL="114300" distR="114300">
            <wp:extent cx="5943600" cy="4356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5943600" cy="4356100"/>
                    </a:xfrm>
                    <a:prstGeom prst="rect">
                      <a:avLst/>
                    </a:prstGeom>
                    <a:ln/>
                  </pic:spPr>
                </pic:pic>
              </a:graphicData>
            </a:graphic>
          </wp:inline>
        </w:drawing>
      </w:r>
      <w:r>
        <w:t>1=Above target level</w:t>
      </w:r>
    </w:p>
    <w:p w:rsidR="00FE0965" w:rsidRDefault="00A0125B">
      <w:pPr>
        <w:spacing w:after="0" w:line="288" w:lineRule="auto"/>
      </w:pPr>
      <w:r>
        <w:lastRenderedPageBreak/>
        <w:t>2=At target level</w:t>
      </w:r>
    </w:p>
    <w:p w:rsidR="00FE0965" w:rsidRDefault="00A0125B">
      <w:pPr>
        <w:spacing w:line="480" w:lineRule="auto"/>
      </w:pPr>
      <w:r>
        <w:t>3=Below target level</w:t>
      </w:r>
    </w:p>
    <w:p w:rsidR="00FE0965" w:rsidRDefault="00A0125B">
      <w:pPr>
        <w:spacing w:line="480" w:lineRule="auto"/>
        <w:ind w:firstLine="720"/>
      </w:pPr>
      <w:r>
        <w:rPr>
          <w:rFonts w:ascii="Times New Roman" w:eastAsia="Times New Roman" w:hAnsi="Times New Roman" w:cs="Times New Roman"/>
          <w:sz w:val="24"/>
        </w:rPr>
        <w:t>Compliance variation is captured in Figure 2. The variation is interesting, since some countries are compliant that we would not expect to be (Croatia, Estonia, Poland, Romania), and some countri</w:t>
      </w:r>
      <w:r>
        <w:rPr>
          <w:rFonts w:ascii="Times New Roman" w:eastAsia="Times New Roman" w:hAnsi="Times New Roman" w:cs="Times New Roman"/>
          <w:sz w:val="24"/>
        </w:rPr>
        <w:t>es are not compliant that we would expect to be (Canada, Ireland, New Zealand). It is also surprising that the Netherlands, Norway, and Switzerland are  only ‘compliant’ (a score of 2). Clearly, compliance is not based solely on economic development, since</w:t>
      </w:r>
      <w:r>
        <w:rPr>
          <w:rFonts w:ascii="Times New Roman" w:eastAsia="Times New Roman" w:hAnsi="Times New Roman" w:cs="Times New Roman"/>
          <w:sz w:val="24"/>
        </w:rPr>
        <w:t xml:space="preserve"> there are non-compliant industrialized countries (like the United States) that are capable of funding emissions reductions projects. This proves Hypothesis IV correct: </w:t>
      </w:r>
      <w:r>
        <w:rPr>
          <w:rFonts w:ascii="Times New Roman" w:eastAsia="Times New Roman" w:hAnsi="Times New Roman" w:cs="Times New Roman"/>
          <w:i/>
          <w:sz w:val="24"/>
        </w:rPr>
        <w:t>Developed states are more likely to implement the LULUCF successfully since they have g</w:t>
      </w:r>
      <w:r>
        <w:rPr>
          <w:rFonts w:ascii="Times New Roman" w:eastAsia="Times New Roman" w:hAnsi="Times New Roman" w:cs="Times New Roman"/>
          <w:i/>
          <w:sz w:val="24"/>
        </w:rPr>
        <w:t xml:space="preserve">reater resources to do so. </w:t>
      </w:r>
      <w:r>
        <w:rPr>
          <w:rFonts w:ascii="Times New Roman" w:eastAsia="Times New Roman" w:hAnsi="Times New Roman" w:cs="Times New Roman"/>
          <w:sz w:val="24"/>
        </w:rPr>
        <w:t xml:space="preserve">It also addresses Hypothesis III: </w:t>
      </w:r>
      <w:r>
        <w:rPr>
          <w:rFonts w:ascii="Times New Roman" w:eastAsia="Times New Roman" w:hAnsi="Times New Roman" w:cs="Times New Roman"/>
          <w:i/>
          <w:sz w:val="24"/>
        </w:rPr>
        <w:t xml:space="preserve"> The presence of a binding target for Annex I countries and absence of a binding target for non-Annex I countries causes countries to not ratify or enforce the Protocol, since the workload of red</w:t>
      </w:r>
      <w:r>
        <w:rPr>
          <w:rFonts w:ascii="Times New Roman" w:eastAsia="Times New Roman" w:hAnsi="Times New Roman" w:cs="Times New Roman"/>
          <w:i/>
          <w:sz w:val="24"/>
        </w:rPr>
        <w:t xml:space="preserve">ucing emissions is not evenly distributed. </w:t>
      </w:r>
      <w:r>
        <w:rPr>
          <w:rFonts w:ascii="Times New Roman" w:eastAsia="Times New Roman" w:hAnsi="Times New Roman" w:cs="Times New Roman"/>
          <w:sz w:val="24"/>
        </w:rPr>
        <w:t xml:space="preserve">States (like the United States) that have the resources to comply are not ratifying the Protocol because of uneven workloads. This is not fully explained by compliance scores, though. It calls for a more detailed </w:t>
      </w:r>
      <w:r>
        <w:rPr>
          <w:rFonts w:ascii="Times New Roman" w:eastAsia="Times New Roman" w:hAnsi="Times New Roman" w:cs="Times New Roman"/>
          <w:sz w:val="24"/>
        </w:rPr>
        <w:t xml:space="preserve">look at domestic politics, which is addressed later in the brief case study of the United States. </w:t>
      </w:r>
    </w:p>
    <w:p w:rsidR="00FE0965" w:rsidRDefault="00A0125B">
      <w:pPr>
        <w:spacing w:line="480" w:lineRule="auto"/>
      </w:pPr>
      <w:r>
        <w:rPr>
          <w:rFonts w:ascii="Times New Roman" w:eastAsia="Times New Roman" w:hAnsi="Times New Roman" w:cs="Times New Roman"/>
          <w:sz w:val="24"/>
        </w:rPr>
        <w:t>Figure 2</w:t>
      </w:r>
    </w:p>
    <w:tbl>
      <w:tblPr>
        <w:tblStyle w:val="a"/>
        <w:tblW w:w="6910"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6"/>
        <w:gridCol w:w="1728"/>
        <w:gridCol w:w="1728"/>
        <w:gridCol w:w="1728"/>
      </w:tblGrid>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b/>
                <w:sz w:val="24"/>
              </w:rPr>
              <w:t>Country</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b/>
                <w:sz w:val="24"/>
              </w:rPr>
              <w:t>Compliance Score</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b/>
                <w:sz w:val="24"/>
              </w:rPr>
              <w:t>Country</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b/>
                <w:sz w:val="24"/>
              </w:rPr>
              <w:t>Compliance Score</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Australia</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Finland</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2</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Belarus</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France</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2</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Belgium</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Italy</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2</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Bulgaria</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Japan</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2</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Croatia</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Luxembourg</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2</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Czech Republic</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Netherlands</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2</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lastRenderedPageBreak/>
              <w:t>Denmark</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Norway</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2</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Estonia</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Slovenia</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2</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Germany</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Switzerland</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2</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Hungary</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Austria</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3</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Latvia</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Canada</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3</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Lithuania</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Cyprus</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3</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Monaco</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Greece</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3</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Poland</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Iceland</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3</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Romania</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 xml:space="preserve"> 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Ireland</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3</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Russian Federation</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Liechtenstein</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3</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Slovakia</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Malta</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3</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Spain</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New Zealand</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3</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Sweden</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Portugal</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3</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Ukraine</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Turkey</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3</w:t>
            </w:r>
          </w:p>
        </w:tc>
      </w:tr>
      <w:tr w:rsidR="00FE0965">
        <w:trPr>
          <w:trHeight w:val="140"/>
        </w:trPr>
        <w:tc>
          <w:tcPr>
            <w:tcW w:w="1727"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United Kingdom</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1</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United States</w:t>
            </w:r>
          </w:p>
        </w:tc>
        <w:tc>
          <w:tcPr>
            <w:tcW w:w="1728" w:type="dxa"/>
            <w:tcMar>
              <w:top w:w="14" w:type="dxa"/>
              <w:left w:w="14" w:type="dxa"/>
              <w:bottom w:w="14" w:type="dxa"/>
              <w:right w:w="14" w:type="dxa"/>
            </w:tcMar>
          </w:tcPr>
          <w:p w:rsidR="00FE0965" w:rsidRDefault="00A0125B">
            <w:pPr>
              <w:widowControl w:val="0"/>
              <w:spacing w:after="0" w:line="240" w:lineRule="auto"/>
              <w:contextualSpacing w:val="0"/>
            </w:pPr>
            <w:r>
              <w:rPr>
                <w:rFonts w:ascii="Times New Roman" w:eastAsia="Times New Roman" w:hAnsi="Times New Roman" w:cs="Times New Roman"/>
                <w:sz w:val="24"/>
              </w:rPr>
              <w:t>3</w:t>
            </w:r>
          </w:p>
        </w:tc>
      </w:tr>
    </w:tbl>
    <w:p w:rsidR="00FE0965" w:rsidRDefault="00A0125B">
      <w:pPr>
        <w:spacing w:line="480" w:lineRule="auto"/>
      </w:pPr>
      <w:r>
        <w:rPr>
          <w:rFonts w:ascii="Times New Roman" w:eastAsia="Times New Roman" w:hAnsi="Times New Roman" w:cs="Times New Roman"/>
          <w:sz w:val="24"/>
        </w:rPr>
        <w:t>*Coding scheme: 1=above compliance, 2=meets compliance, 3=below compliance.</w:t>
      </w:r>
    </w:p>
    <w:p w:rsidR="00FE0965" w:rsidRDefault="00A0125B">
      <w:pPr>
        <w:spacing w:line="480" w:lineRule="auto"/>
      </w:pPr>
      <w:r>
        <w:rPr>
          <w:rFonts w:ascii="Times New Roman" w:eastAsia="Times New Roman" w:hAnsi="Times New Roman" w:cs="Times New Roman"/>
          <w:sz w:val="24"/>
        </w:rPr>
        <w:tab/>
      </w:r>
      <w:r>
        <w:rPr>
          <w:rFonts w:ascii="Times New Roman" w:eastAsia="Times New Roman" w:hAnsi="Times New Roman" w:cs="Times New Roman"/>
          <w:sz w:val="24"/>
        </w:rPr>
        <w:t>Compliance variation was tested with several independent variables: GINI score, Polity 2 score, Foreign Direct Investment, GDP per capita, GDP absolute, and Ethnic Group fractionalization. As Figure 3 shows, the model explains almost 94 percent of the vari</w:t>
      </w:r>
      <w:r>
        <w:rPr>
          <w:rFonts w:ascii="Times New Roman" w:eastAsia="Times New Roman" w:hAnsi="Times New Roman" w:cs="Times New Roman"/>
          <w:sz w:val="24"/>
        </w:rPr>
        <w:t xml:space="preserve">ation in compliance. </w:t>
      </w:r>
    </w:p>
    <w:p w:rsidR="00FE0965" w:rsidRDefault="00A0125B">
      <w:pPr>
        <w:spacing w:line="480" w:lineRule="auto"/>
      </w:pPr>
      <w:r>
        <w:rPr>
          <w:rFonts w:ascii="Times New Roman" w:eastAsia="Times New Roman" w:hAnsi="Times New Roman" w:cs="Times New Roman"/>
          <w:sz w:val="24"/>
        </w:rPr>
        <w:t>Figure 3.</w:t>
      </w:r>
      <w:r>
        <w:rPr>
          <w:rFonts w:ascii="Times New Roman" w:eastAsia="Times New Roman" w:hAnsi="Times New Roman" w:cs="Times New Roman"/>
          <w:sz w:val="24"/>
        </w:rPr>
        <w:tab/>
        <w:t xml:space="preserve"> </w:t>
      </w:r>
    </w:p>
    <w:p w:rsidR="00FE0965" w:rsidRDefault="00FE0965">
      <w:pPr>
        <w:spacing w:after="0" w:line="240" w:lineRule="auto"/>
      </w:pPr>
    </w:p>
    <w:tbl>
      <w:tblPr>
        <w:tblStyle w:val="a0"/>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95"/>
        <w:gridCol w:w="1024"/>
        <w:gridCol w:w="1086"/>
        <w:gridCol w:w="1469"/>
        <w:gridCol w:w="1469"/>
      </w:tblGrid>
      <w:tr w:rsidR="00FE0965">
        <w:tc>
          <w:tcPr>
            <w:tcW w:w="5843" w:type="dxa"/>
            <w:gridSpan w:val="5"/>
            <w:tcBorders>
              <w:top w:val="nil"/>
              <w:left w:val="nil"/>
              <w:bottom w:val="nil"/>
              <w:right w:val="nil"/>
            </w:tcBorders>
            <w:shd w:val="clear" w:color="auto" w:fill="FFFFFF"/>
            <w:vAlign w:val="center"/>
          </w:tcPr>
          <w:p w:rsidR="00FE0965" w:rsidRDefault="00A0125B">
            <w:pPr>
              <w:spacing w:after="0"/>
              <w:ind w:left="60" w:right="60"/>
              <w:jc w:val="center"/>
            </w:pPr>
            <w:r>
              <w:rPr>
                <w:rFonts w:ascii="Times New Roman" w:eastAsia="Times New Roman" w:hAnsi="Times New Roman" w:cs="Times New Roman"/>
                <w:b/>
                <w:sz w:val="24"/>
              </w:rPr>
              <w:t>Model Summary</w:t>
            </w:r>
            <w:r>
              <w:rPr>
                <w:rFonts w:ascii="Times New Roman" w:eastAsia="Times New Roman" w:hAnsi="Times New Roman" w:cs="Times New Roman"/>
                <w:b/>
                <w:sz w:val="24"/>
                <w:vertAlign w:val="superscript"/>
              </w:rPr>
              <w:t>b</w:t>
            </w:r>
          </w:p>
        </w:tc>
      </w:tr>
      <w:tr w:rsidR="00FE0965">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E0965" w:rsidRDefault="00A0125B">
            <w:pPr>
              <w:spacing w:after="0"/>
              <w:ind w:left="60" w:right="60"/>
            </w:pPr>
            <w:r>
              <w:rPr>
                <w:rFonts w:ascii="Times New Roman" w:eastAsia="Times New Roman" w:hAnsi="Times New Roman" w:cs="Times New Roman"/>
                <w:sz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FE0965" w:rsidRDefault="00A0125B">
            <w:pPr>
              <w:spacing w:after="0"/>
              <w:ind w:left="60" w:right="60"/>
              <w:jc w:val="center"/>
            </w:pPr>
            <w:r>
              <w:rPr>
                <w:rFonts w:ascii="Times New Roman" w:eastAsia="Times New Roman" w:hAnsi="Times New Roman" w:cs="Times New Roman"/>
                <w:sz w:val="24"/>
              </w:rPr>
              <w:t>R</w:t>
            </w:r>
          </w:p>
        </w:tc>
        <w:tc>
          <w:tcPr>
            <w:tcW w:w="1086" w:type="dxa"/>
            <w:tcBorders>
              <w:top w:val="single" w:sz="16" w:space="0" w:color="000000"/>
              <w:bottom w:val="single" w:sz="16" w:space="0" w:color="000000"/>
            </w:tcBorders>
            <w:shd w:val="clear" w:color="auto" w:fill="FFFFFF"/>
            <w:vAlign w:val="bottom"/>
          </w:tcPr>
          <w:p w:rsidR="00FE0965" w:rsidRDefault="00A0125B">
            <w:pPr>
              <w:spacing w:after="0"/>
              <w:ind w:left="60" w:right="60"/>
              <w:jc w:val="center"/>
            </w:pPr>
            <w:r>
              <w:rPr>
                <w:rFonts w:ascii="Times New Roman" w:eastAsia="Times New Roman" w:hAnsi="Times New Roman" w:cs="Times New Roman"/>
                <w:sz w:val="24"/>
              </w:rPr>
              <w:t>R Square</w:t>
            </w:r>
          </w:p>
        </w:tc>
        <w:tc>
          <w:tcPr>
            <w:tcW w:w="1469" w:type="dxa"/>
            <w:tcBorders>
              <w:top w:val="single" w:sz="16" w:space="0" w:color="000000"/>
              <w:bottom w:val="single" w:sz="16" w:space="0" w:color="000000"/>
            </w:tcBorders>
            <w:shd w:val="clear" w:color="auto" w:fill="FFFFFF"/>
            <w:vAlign w:val="bottom"/>
          </w:tcPr>
          <w:p w:rsidR="00FE0965" w:rsidRDefault="00A0125B">
            <w:pPr>
              <w:spacing w:after="0"/>
              <w:ind w:left="60" w:right="60"/>
              <w:jc w:val="center"/>
            </w:pPr>
            <w:r>
              <w:rPr>
                <w:rFonts w:ascii="Times New Roman" w:eastAsia="Times New Roman" w:hAnsi="Times New Roman" w:cs="Times New Roman"/>
                <w:sz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FE0965" w:rsidRDefault="00A0125B">
            <w:pPr>
              <w:spacing w:after="0"/>
              <w:ind w:left="60" w:right="60"/>
              <w:jc w:val="center"/>
            </w:pPr>
            <w:r>
              <w:rPr>
                <w:rFonts w:ascii="Times New Roman" w:eastAsia="Times New Roman" w:hAnsi="Times New Roman" w:cs="Times New Roman"/>
                <w:sz w:val="24"/>
              </w:rPr>
              <w:t>Std. Error of the Estimate</w:t>
            </w:r>
          </w:p>
        </w:tc>
      </w:tr>
      <w:tr w:rsidR="00FE0965">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FE0965" w:rsidRDefault="00A0125B">
            <w:pPr>
              <w:spacing w:after="0"/>
              <w:ind w:left="60" w:right="60"/>
            </w:pPr>
            <w:r>
              <w:rPr>
                <w:rFonts w:ascii="Times New Roman" w:eastAsia="Times New Roman" w:hAnsi="Times New Roman" w:cs="Times New Roman"/>
                <w:sz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.968</w:t>
            </w:r>
            <w:r>
              <w:rPr>
                <w:rFonts w:ascii="Times New Roman" w:eastAsia="Times New Roman" w:hAnsi="Times New Roman" w:cs="Times New Roman"/>
                <w:sz w:val="24"/>
                <w:vertAlign w:val="superscript"/>
              </w:rPr>
              <w:t>a</w:t>
            </w:r>
          </w:p>
        </w:tc>
        <w:tc>
          <w:tcPr>
            <w:tcW w:w="1086" w:type="dxa"/>
            <w:tcBorders>
              <w:top w:val="single" w:sz="16" w:space="0" w:color="000000"/>
              <w:bottom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.938</w:t>
            </w:r>
          </w:p>
        </w:tc>
        <w:tc>
          <w:tcPr>
            <w:tcW w:w="1469" w:type="dxa"/>
            <w:tcBorders>
              <w:top w:val="single" w:sz="16" w:space="0" w:color="000000"/>
              <w:bottom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.920</w:t>
            </w:r>
          </w:p>
        </w:tc>
        <w:tc>
          <w:tcPr>
            <w:tcW w:w="1469" w:type="dxa"/>
            <w:tcBorders>
              <w:top w:val="single" w:sz="16" w:space="0" w:color="000000"/>
              <w:bottom w:val="single" w:sz="16" w:space="0" w:color="000000"/>
              <w:right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359108.24097</w:t>
            </w:r>
          </w:p>
        </w:tc>
      </w:tr>
      <w:tr w:rsidR="00FE0965">
        <w:tc>
          <w:tcPr>
            <w:tcW w:w="5843" w:type="dxa"/>
            <w:gridSpan w:val="5"/>
            <w:tcBorders>
              <w:top w:val="nil"/>
              <w:left w:val="nil"/>
              <w:bottom w:val="nil"/>
              <w:right w:val="nil"/>
            </w:tcBorders>
            <w:shd w:val="clear" w:color="auto" w:fill="FFFFFF"/>
          </w:tcPr>
          <w:p w:rsidR="00FE0965" w:rsidRDefault="00A0125B">
            <w:pPr>
              <w:spacing w:after="0"/>
              <w:ind w:left="60" w:right="60"/>
            </w:pPr>
            <w:r>
              <w:rPr>
                <w:rFonts w:ascii="Times New Roman" w:eastAsia="Times New Roman" w:hAnsi="Times New Roman" w:cs="Times New Roman"/>
                <w:sz w:val="24"/>
              </w:rPr>
              <w:t>a. Predictors: (Constant), EthnicGrpFract, GINI, GDPabsolute, polity2, FDIperGDP, GDPpercapita, FDI</w:t>
            </w:r>
          </w:p>
        </w:tc>
      </w:tr>
      <w:tr w:rsidR="00FE0965">
        <w:tc>
          <w:tcPr>
            <w:tcW w:w="5843" w:type="dxa"/>
            <w:gridSpan w:val="5"/>
            <w:tcBorders>
              <w:top w:val="nil"/>
              <w:left w:val="nil"/>
              <w:bottom w:val="nil"/>
              <w:right w:val="nil"/>
            </w:tcBorders>
            <w:shd w:val="clear" w:color="auto" w:fill="FFFFFF"/>
          </w:tcPr>
          <w:p w:rsidR="00FE0965" w:rsidRDefault="00A0125B">
            <w:pPr>
              <w:spacing w:after="0"/>
              <w:ind w:left="60" w:right="60"/>
            </w:pPr>
            <w:r>
              <w:rPr>
                <w:rFonts w:ascii="Times New Roman" w:eastAsia="Times New Roman" w:hAnsi="Times New Roman" w:cs="Times New Roman"/>
                <w:sz w:val="24"/>
              </w:rPr>
              <w:t>b. Dependent Variable: LULUCF</w:t>
            </w:r>
          </w:p>
        </w:tc>
      </w:tr>
    </w:tbl>
    <w:p w:rsidR="00FE0965" w:rsidRDefault="00FE0965">
      <w:pPr>
        <w:spacing w:line="480" w:lineRule="auto"/>
      </w:pPr>
    </w:p>
    <w:p w:rsidR="00FE0965" w:rsidRDefault="00A0125B">
      <w:pPr>
        <w:spacing w:line="480" w:lineRule="auto"/>
      </w:pPr>
      <w:r>
        <w:rPr>
          <w:rFonts w:ascii="Times New Roman" w:eastAsia="Times New Roman" w:hAnsi="Times New Roman" w:cs="Times New Roman"/>
          <w:sz w:val="24"/>
        </w:rPr>
        <w:lastRenderedPageBreak/>
        <w:t xml:space="preserve">However, most of the variables were not found to be statistically significant on their own, as shown in Figure 4. This shows that Hypothesis I is not as influential on outcomes as the literature suggests:  </w:t>
      </w:r>
      <w:r>
        <w:rPr>
          <w:rFonts w:ascii="Times New Roman" w:eastAsia="Times New Roman" w:hAnsi="Times New Roman" w:cs="Times New Roman"/>
          <w:i/>
          <w:sz w:val="24"/>
        </w:rPr>
        <w:t xml:space="preserve"> States are more likely to ratify the Kyoto Protocol if they are democracies than if they are authoritarian regimes since they share democratic norms.</w:t>
      </w:r>
      <w:r>
        <w:rPr>
          <w:rFonts w:ascii="Times New Roman" w:eastAsia="Times New Roman" w:hAnsi="Times New Roman" w:cs="Times New Roman"/>
          <w:sz w:val="24"/>
        </w:rPr>
        <w:t xml:space="preserve"> Indeed, a glance at compliance scores, shown in Figure 2, shows that democracies can be non-compliant and</w:t>
      </w:r>
      <w:r>
        <w:rPr>
          <w:rFonts w:ascii="Times New Roman" w:eastAsia="Times New Roman" w:hAnsi="Times New Roman" w:cs="Times New Roman"/>
          <w:sz w:val="24"/>
        </w:rPr>
        <w:t xml:space="preserve"> authoritarian states can be compliant. The exception to these findings was that GDP absolute was statistically significant. This can be explained by the theory that developed states are likely to have the material resources to implement emissions reductio</w:t>
      </w:r>
      <w:r>
        <w:rPr>
          <w:rFonts w:ascii="Times New Roman" w:eastAsia="Times New Roman" w:hAnsi="Times New Roman" w:cs="Times New Roman"/>
          <w:sz w:val="24"/>
        </w:rPr>
        <w:t xml:space="preserve">ns projects, like LULUCF. It proves Hypothesis IV was correct: </w:t>
      </w:r>
      <w:r>
        <w:rPr>
          <w:rFonts w:ascii="Times New Roman" w:eastAsia="Times New Roman" w:hAnsi="Times New Roman" w:cs="Times New Roman"/>
          <w:i/>
          <w:sz w:val="24"/>
        </w:rPr>
        <w:t xml:space="preserve">Developed states are more likely to implement the LULUCF successfully since they have greater resources to do so. </w:t>
      </w:r>
      <w:r>
        <w:rPr>
          <w:rFonts w:ascii="Times New Roman" w:eastAsia="Times New Roman" w:hAnsi="Times New Roman" w:cs="Times New Roman"/>
          <w:sz w:val="24"/>
        </w:rPr>
        <w:t>However, it does not explain why most of these projects occur in developing cou</w:t>
      </w:r>
      <w:r>
        <w:rPr>
          <w:rFonts w:ascii="Times New Roman" w:eastAsia="Times New Roman" w:hAnsi="Times New Roman" w:cs="Times New Roman"/>
          <w:sz w:val="24"/>
        </w:rPr>
        <w:t>ntries that do not have an abundance of material resources.</w:t>
      </w:r>
    </w:p>
    <w:p w:rsidR="00FE0965" w:rsidRDefault="00FE0965">
      <w:pPr>
        <w:spacing w:line="480" w:lineRule="auto"/>
      </w:pPr>
    </w:p>
    <w:p w:rsidR="00FE0965" w:rsidRDefault="00A0125B">
      <w:pPr>
        <w:spacing w:line="480" w:lineRule="auto"/>
      </w:pPr>
      <w:r>
        <w:rPr>
          <w:rFonts w:ascii="Times New Roman" w:eastAsia="Times New Roman" w:hAnsi="Times New Roman" w:cs="Times New Roman"/>
          <w:sz w:val="24"/>
        </w:rPr>
        <w:t xml:space="preserve">Figure 4. </w:t>
      </w:r>
    </w:p>
    <w:tbl>
      <w:tblPr>
        <w:tblStyle w:val="a1"/>
        <w:tblW w:w="85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34"/>
        <w:gridCol w:w="1530"/>
        <w:gridCol w:w="1408"/>
        <w:gridCol w:w="1408"/>
        <w:gridCol w:w="1469"/>
        <w:gridCol w:w="1024"/>
        <w:gridCol w:w="1024"/>
      </w:tblGrid>
      <w:tr w:rsidR="00FE0965">
        <w:tc>
          <w:tcPr>
            <w:tcW w:w="8597" w:type="dxa"/>
            <w:gridSpan w:val="7"/>
            <w:tcBorders>
              <w:top w:val="nil"/>
              <w:left w:val="nil"/>
              <w:bottom w:val="nil"/>
              <w:right w:val="nil"/>
            </w:tcBorders>
            <w:shd w:val="clear" w:color="auto" w:fill="FFFFFF"/>
            <w:vAlign w:val="center"/>
          </w:tcPr>
          <w:p w:rsidR="00FE0965" w:rsidRDefault="00A0125B">
            <w:pPr>
              <w:spacing w:after="0"/>
              <w:ind w:left="60" w:right="60"/>
              <w:jc w:val="center"/>
            </w:pPr>
            <w:r>
              <w:rPr>
                <w:rFonts w:ascii="Times New Roman" w:eastAsia="Times New Roman" w:hAnsi="Times New Roman" w:cs="Times New Roman"/>
                <w:b/>
                <w:sz w:val="24"/>
              </w:rPr>
              <w:t>Coefficients</w:t>
            </w:r>
            <w:r>
              <w:rPr>
                <w:rFonts w:ascii="Times New Roman" w:eastAsia="Times New Roman" w:hAnsi="Times New Roman" w:cs="Times New Roman"/>
                <w:b/>
                <w:sz w:val="24"/>
                <w:vertAlign w:val="superscript"/>
              </w:rPr>
              <w:t>a</w:t>
            </w:r>
          </w:p>
        </w:tc>
      </w:tr>
      <w:tr w:rsidR="00FE0965">
        <w:tc>
          <w:tcPr>
            <w:tcW w:w="2264" w:type="dxa"/>
            <w:gridSpan w:val="2"/>
            <w:vMerge w:val="restart"/>
            <w:tcBorders>
              <w:top w:val="single" w:sz="16" w:space="0" w:color="000000"/>
              <w:left w:val="single" w:sz="16" w:space="0" w:color="000000"/>
              <w:bottom w:val="nil"/>
              <w:right w:val="nil"/>
            </w:tcBorders>
            <w:shd w:val="clear" w:color="auto" w:fill="FFFFFF"/>
            <w:vAlign w:val="bottom"/>
          </w:tcPr>
          <w:p w:rsidR="00FE0965" w:rsidRDefault="00A0125B">
            <w:pPr>
              <w:spacing w:after="0"/>
              <w:ind w:left="60" w:right="60"/>
            </w:pPr>
            <w:r>
              <w:rPr>
                <w:rFonts w:ascii="Times New Roman" w:eastAsia="Times New Roman" w:hAnsi="Times New Roman" w:cs="Times New Roman"/>
                <w:sz w:val="24"/>
              </w:rPr>
              <w:t>Model</w:t>
            </w:r>
          </w:p>
        </w:tc>
        <w:tc>
          <w:tcPr>
            <w:tcW w:w="2816" w:type="dxa"/>
            <w:gridSpan w:val="2"/>
            <w:tcBorders>
              <w:top w:val="single" w:sz="16" w:space="0" w:color="000000"/>
              <w:left w:val="single" w:sz="16" w:space="0" w:color="000000"/>
            </w:tcBorders>
            <w:shd w:val="clear" w:color="auto" w:fill="FFFFFF"/>
            <w:vAlign w:val="bottom"/>
          </w:tcPr>
          <w:p w:rsidR="00FE0965" w:rsidRDefault="00A0125B">
            <w:pPr>
              <w:spacing w:after="0"/>
              <w:ind w:left="60" w:right="60"/>
              <w:jc w:val="center"/>
            </w:pPr>
            <w:r>
              <w:rPr>
                <w:rFonts w:ascii="Times New Roman" w:eastAsia="Times New Roman" w:hAnsi="Times New Roman" w:cs="Times New Roman"/>
                <w:sz w:val="24"/>
              </w:rPr>
              <w:t>Unstandardized Coefficients</w:t>
            </w:r>
          </w:p>
        </w:tc>
        <w:tc>
          <w:tcPr>
            <w:tcW w:w="1469" w:type="dxa"/>
            <w:tcBorders>
              <w:top w:val="single" w:sz="16" w:space="0" w:color="000000"/>
            </w:tcBorders>
            <w:shd w:val="clear" w:color="auto" w:fill="FFFFFF"/>
            <w:vAlign w:val="bottom"/>
          </w:tcPr>
          <w:p w:rsidR="00FE0965" w:rsidRDefault="00A0125B">
            <w:pPr>
              <w:spacing w:after="0"/>
              <w:ind w:left="60" w:right="60"/>
              <w:jc w:val="center"/>
            </w:pPr>
            <w:r>
              <w:rPr>
                <w:rFonts w:ascii="Times New Roman" w:eastAsia="Times New Roman" w:hAnsi="Times New Roman" w:cs="Times New Roman"/>
                <w:sz w:val="24"/>
              </w:rPr>
              <w:t>Standardized Coefficients</w:t>
            </w:r>
          </w:p>
        </w:tc>
        <w:tc>
          <w:tcPr>
            <w:tcW w:w="1024" w:type="dxa"/>
            <w:vMerge w:val="restart"/>
            <w:tcBorders>
              <w:top w:val="single" w:sz="16" w:space="0" w:color="000000"/>
            </w:tcBorders>
            <w:shd w:val="clear" w:color="auto" w:fill="FFFFFF"/>
            <w:vAlign w:val="bottom"/>
          </w:tcPr>
          <w:p w:rsidR="00FE0965" w:rsidRDefault="00A0125B">
            <w:pPr>
              <w:spacing w:after="0"/>
              <w:ind w:left="60" w:right="60"/>
              <w:jc w:val="center"/>
            </w:pPr>
            <w:r>
              <w:rPr>
                <w:rFonts w:ascii="Times New Roman" w:eastAsia="Times New Roman" w:hAnsi="Times New Roman" w:cs="Times New Roman"/>
                <w:sz w:val="24"/>
              </w:rPr>
              <w:t>t</w:t>
            </w:r>
          </w:p>
        </w:tc>
        <w:tc>
          <w:tcPr>
            <w:tcW w:w="1024" w:type="dxa"/>
            <w:vMerge w:val="restart"/>
            <w:tcBorders>
              <w:top w:val="single" w:sz="16" w:space="0" w:color="000000"/>
              <w:right w:val="single" w:sz="16" w:space="0" w:color="000000"/>
            </w:tcBorders>
            <w:shd w:val="clear" w:color="auto" w:fill="FFFFFF"/>
            <w:vAlign w:val="bottom"/>
          </w:tcPr>
          <w:p w:rsidR="00FE0965" w:rsidRDefault="00A0125B">
            <w:pPr>
              <w:spacing w:after="0"/>
              <w:ind w:left="60" w:right="60"/>
              <w:jc w:val="center"/>
            </w:pPr>
            <w:r>
              <w:rPr>
                <w:rFonts w:ascii="Times New Roman" w:eastAsia="Times New Roman" w:hAnsi="Times New Roman" w:cs="Times New Roman"/>
                <w:sz w:val="24"/>
              </w:rPr>
              <w:t>Sig.</w:t>
            </w:r>
          </w:p>
        </w:tc>
      </w:tr>
      <w:tr w:rsidR="00FE0965">
        <w:tc>
          <w:tcPr>
            <w:tcW w:w="2264" w:type="dxa"/>
            <w:gridSpan w:val="2"/>
            <w:vMerge/>
            <w:tcBorders>
              <w:top w:val="single" w:sz="16" w:space="0" w:color="000000"/>
              <w:left w:val="single" w:sz="16" w:space="0" w:color="000000"/>
              <w:bottom w:val="nil"/>
              <w:right w:val="nil"/>
            </w:tcBorders>
            <w:shd w:val="clear" w:color="auto" w:fill="FFFFFF"/>
            <w:vAlign w:val="bottom"/>
          </w:tcPr>
          <w:p w:rsidR="00FE0965" w:rsidRDefault="00FE0965">
            <w:pPr>
              <w:spacing w:after="0" w:line="240" w:lineRule="auto"/>
            </w:pPr>
          </w:p>
        </w:tc>
        <w:tc>
          <w:tcPr>
            <w:tcW w:w="1408" w:type="dxa"/>
            <w:tcBorders>
              <w:left w:val="single" w:sz="16" w:space="0" w:color="000000"/>
              <w:bottom w:val="single" w:sz="16" w:space="0" w:color="000000"/>
            </w:tcBorders>
            <w:shd w:val="clear" w:color="auto" w:fill="FFFFFF"/>
            <w:vAlign w:val="bottom"/>
          </w:tcPr>
          <w:p w:rsidR="00FE0965" w:rsidRDefault="00A0125B">
            <w:pPr>
              <w:spacing w:after="0"/>
              <w:ind w:left="60" w:right="60"/>
              <w:jc w:val="center"/>
            </w:pPr>
            <w:r>
              <w:rPr>
                <w:rFonts w:ascii="Times New Roman" w:eastAsia="Times New Roman" w:hAnsi="Times New Roman" w:cs="Times New Roman"/>
                <w:sz w:val="24"/>
              </w:rPr>
              <w:t>B</w:t>
            </w:r>
          </w:p>
        </w:tc>
        <w:tc>
          <w:tcPr>
            <w:tcW w:w="1408" w:type="dxa"/>
            <w:tcBorders>
              <w:bottom w:val="single" w:sz="16" w:space="0" w:color="000000"/>
            </w:tcBorders>
            <w:shd w:val="clear" w:color="auto" w:fill="FFFFFF"/>
            <w:vAlign w:val="bottom"/>
          </w:tcPr>
          <w:p w:rsidR="00FE0965" w:rsidRDefault="00A0125B">
            <w:pPr>
              <w:spacing w:after="0"/>
              <w:ind w:left="60" w:right="60"/>
              <w:jc w:val="center"/>
            </w:pPr>
            <w:r>
              <w:rPr>
                <w:rFonts w:ascii="Times New Roman" w:eastAsia="Times New Roman" w:hAnsi="Times New Roman" w:cs="Times New Roman"/>
                <w:sz w:val="24"/>
              </w:rPr>
              <w:t>Std. Error</w:t>
            </w:r>
          </w:p>
        </w:tc>
        <w:tc>
          <w:tcPr>
            <w:tcW w:w="1469" w:type="dxa"/>
            <w:tcBorders>
              <w:bottom w:val="single" w:sz="16" w:space="0" w:color="000000"/>
            </w:tcBorders>
            <w:shd w:val="clear" w:color="auto" w:fill="FFFFFF"/>
            <w:vAlign w:val="bottom"/>
          </w:tcPr>
          <w:p w:rsidR="00FE0965" w:rsidRDefault="00A0125B">
            <w:pPr>
              <w:spacing w:after="0"/>
              <w:ind w:left="60" w:right="60"/>
              <w:jc w:val="center"/>
            </w:pPr>
            <w:r>
              <w:rPr>
                <w:rFonts w:ascii="Times New Roman" w:eastAsia="Times New Roman" w:hAnsi="Times New Roman" w:cs="Times New Roman"/>
                <w:sz w:val="24"/>
              </w:rPr>
              <w:t>Beta</w:t>
            </w:r>
          </w:p>
        </w:tc>
        <w:tc>
          <w:tcPr>
            <w:tcW w:w="1024" w:type="dxa"/>
            <w:vMerge/>
            <w:tcBorders>
              <w:top w:val="single" w:sz="16" w:space="0" w:color="000000"/>
            </w:tcBorders>
            <w:shd w:val="clear" w:color="auto" w:fill="FFFFFF"/>
            <w:vAlign w:val="bottom"/>
          </w:tcPr>
          <w:p w:rsidR="00FE0965" w:rsidRDefault="00FE0965">
            <w:pPr>
              <w:widowControl w:val="0"/>
              <w:spacing w:after="0" w:line="276" w:lineRule="auto"/>
            </w:pPr>
          </w:p>
        </w:tc>
        <w:tc>
          <w:tcPr>
            <w:tcW w:w="1024" w:type="dxa"/>
            <w:vMerge/>
            <w:tcBorders>
              <w:top w:val="single" w:sz="16" w:space="0" w:color="000000"/>
              <w:right w:val="single" w:sz="16" w:space="0" w:color="000000"/>
            </w:tcBorders>
            <w:shd w:val="clear" w:color="auto" w:fill="FFFFFF"/>
            <w:vAlign w:val="bottom"/>
          </w:tcPr>
          <w:p w:rsidR="00FE0965" w:rsidRDefault="00FE0965">
            <w:pPr>
              <w:spacing w:after="0" w:line="240" w:lineRule="auto"/>
            </w:pPr>
          </w:p>
          <w:p w:rsidR="00FE0965" w:rsidRDefault="00FE0965">
            <w:pPr>
              <w:spacing w:after="0" w:line="240" w:lineRule="auto"/>
            </w:pPr>
          </w:p>
        </w:tc>
      </w:tr>
      <w:tr w:rsidR="00FE0965">
        <w:tc>
          <w:tcPr>
            <w:tcW w:w="734" w:type="dxa"/>
            <w:vMerge w:val="restart"/>
            <w:tcBorders>
              <w:top w:val="single" w:sz="16" w:space="0" w:color="000000"/>
              <w:left w:val="single" w:sz="16" w:space="0" w:color="000000"/>
              <w:bottom w:val="single" w:sz="16" w:space="0" w:color="000000"/>
              <w:right w:val="nil"/>
            </w:tcBorders>
            <w:shd w:val="clear" w:color="auto" w:fill="FFFFFF"/>
          </w:tcPr>
          <w:p w:rsidR="00FE0965" w:rsidRDefault="00A0125B">
            <w:pPr>
              <w:spacing w:after="0"/>
              <w:ind w:left="60" w:right="60"/>
            </w:pPr>
            <w:r>
              <w:rPr>
                <w:rFonts w:ascii="Times New Roman" w:eastAsia="Times New Roman" w:hAnsi="Times New Roman" w:cs="Times New Roman"/>
                <w:sz w:val="24"/>
              </w:rPr>
              <w:t>1</w:t>
            </w:r>
          </w:p>
        </w:tc>
        <w:tc>
          <w:tcPr>
            <w:tcW w:w="1530" w:type="dxa"/>
            <w:tcBorders>
              <w:top w:val="single" w:sz="16" w:space="0" w:color="000000"/>
              <w:left w:val="nil"/>
              <w:bottom w:val="nil"/>
              <w:right w:val="single" w:sz="16" w:space="0" w:color="000000"/>
            </w:tcBorders>
            <w:shd w:val="clear" w:color="auto" w:fill="FFFFFF"/>
          </w:tcPr>
          <w:p w:rsidR="00FE0965" w:rsidRDefault="00A0125B">
            <w:pPr>
              <w:spacing w:after="0"/>
              <w:ind w:left="60" w:right="60"/>
            </w:pPr>
            <w:r>
              <w:rPr>
                <w:rFonts w:ascii="Times New Roman" w:eastAsia="Times New Roman" w:hAnsi="Times New Roman" w:cs="Times New Roman"/>
                <w:sz w:val="24"/>
              </w:rPr>
              <w:t>(Constant)</w:t>
            </w:r>
          </w:p>
        </w:tc>
        <w:tc>
          <w:tcPr>
            <w:tcW w:w="1408" w:type="dxa"/>
            <w:tcBorders>
              <w:top w:val="single" w:sz="16" w:space="0" w:color="000000"/>
              <w:left w:val="single" w:sz="16" w:space="0" w:color="000000"/>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1863401.905</w:t>
            </w:r>
          </w:p>
        </w:tc>
        <w:tc>
          <w:tcPr>
            <w:tcW w:w="1408" w:type="dxa"/>
            <w:tcBorders>
              <w:top w:val="single" w:sz="16" w:space="0" w:color="000000"/>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936979.454</w:t>
            </w:r>
          </w:p>
        </w:tc>
        <w:tc>
          <w:tcPr>
            <w:tcW w:w="1469" w:type="dxa"/>
            <w:tcBorders>
              <w:top w:val="single" w:sz="16" w:space="0" w:color="000000"/>
              <w:bottom w:val="nil"/>
            </w:tcBorders>
            <w:shd w:val="clear" w:color="auto" w:fill="FFFFFF"/>
            <w:vAlign w:val="center"/>
          </w:tcPr>
          <w:p w:rsidR="00FE0965" w:rsidRDefault="00FE0965">
            <w:pPr>
              <w:spacing w:after="0" w:line="240" w:lineRule="auto"/>
            </w:pPr>
          </w:p>
        </w:tc>
        <w:tc>
          <w:tcPr>
            <w:tcW w:w="1024" w:type="dxa"/>
            <w:tcBorders>
              <w:top w:val="single" w:sz="16" w:space="0" w:color="000000"/>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1.989</w:t>
            </w:r>
          </w:p>
        </w:tc>
        <w:tc>
          <w:tcPr>
            <w:tcW w:w="1024" w:type="dxa"/>
            <w:tcBorders>
              <w:top w:val="single" w:sz="16" w:space="0" w:color="000000"/>
              <w:bottom w:val="nil"/>
              <w:right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.058</w:t>
            </w:r>
          </w:p>
        </w:tc>
      </w:tr>
      <w:tr w:rsidR="00FE0965">
        <w:tc>
          <w:tcPr>
            <w:tcW w:w="734" w:type="dxa"/>
            <w:vMerge/>
            <w:tcBorders>
              <w:top w:val="single" w:sz="16" w:space="0" w:color="000000"/>
              <w:left w:val="single" w:sz="16" w:space="0" w:color="000000"/>
              <w:bottom w:val="single" w:sz="16" w:space="0" w:color="000000"/>
              <w:right w:val="nil"/>
            </w:tcBorders>
            <w:shd w:val="clear" w:color="auto" w:fill="FFFFFF"/>
          </w:tcPr>
          <w:p w:rsidR="00FE0965" w:rsidRDefault="00FE0965">
            <w:pPr>
              <w:spacing w:after="0" w:line="240" w:lineRule="auto"/>
            </w:pPr>
          </w:p>
        </w:tc>
        <w:tc>
          <w:tcPr>
            <w:tcW w:w="1530" w:type="dxa"/>
            <w:tcBorders>
              <w:top w:val="nil"/>
              <w:left w:val="nil"/>
              <w:bottom w:val="nil"/>
              <w:right w:val="single" w:sz="16" w:space="0" w:color="000000"/>
            </w:tcBorders>
            <w:shd w:val="clear" w:color="auto" w:fill="FFFFFF"/>
          </w:tcPr>
          <w:p w:rsidR="00FE0965" w:rsidRDefault="00A0125B">
            <w:pPr>
              <w:spacing w:after="0"/>
              <w:ind w:left="60" w:right="60"/>
            </w:pPr>
            <w:r>
              <w:rPr>
                <w:rFonts w:ascii="Times New Roman" w:eastAsia="Times New Roman" w:hAnsi="Times New Roman" w:cs="Times New Roman"/>
                <w:sz w:val="24"/>
              </w:rPr>
              <w:t>GINI</w:t>
            </w:r>
          </w:p>
        </w:tc>
        <w:tc>
          <w:tcPr>
            <w:tcW w:w="1408" w:type="dxa"/>
            <w:tcBorders>
              <w:top w:val="nil"/>
              <w:left w:val="single" w:sz="16" w:space="0" w:color="000000"/>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762.565</w:t>
            </w:r>
          </w:p>
        </w:tc>
        <w:tc>
          <w:tcPr>
            <w:tcW w:w="1408"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13271.711</w:t>
            </w:r>
          </w:p>
        </w:tc>
        <w:tc>
          <w:tcPr>
            <w:tcW w:w="1469"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.003</w:t>
            </w:r>
          </w:p>
        </w:tc>
        <w:tc>
          <w:tcPr>
            <w:tcW w:w="1024"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.057</w:t>
            </w:r>
          </w:p>
        </w:tc>
        <w:tc>
          <w:tcPr>
            <w:tcW w:w="1024" w:type="dxa"/>
            <w:tcBorders>
              <w:top w:val="nil"/>
              <w:bottom w:val="nil"/>
              <w:right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.955</w:t>
            </w:r>
          </w:p>
        </w:tc>
      </w:tr>
      <w:tr w:rsidR="00FE0965">
        <w:tc>
          <w:tcPr>
            <w:tcW w:w="734" w:type="dxa"/>
            <w:vMerge/>
            <w:tcBorders>
              <w:top w:val="single" w:sz="16" w:space="0" w:color="000000"/>
              <w:left w:val="single" w:sz="16" w:space="0" w:color="000000"/>
              <w:bottom w:val="single" w:sz="16" w:space="0" w:color="000000"/>
              <w:right w:val="nil"/>
            </w:tcBorders>
            <w:shd w:val="clear" w:color="auto" w:fill="FFFFFF"/>
          </w:tcPr>
          <w:p w:rsidR="00FE0965" w:rsidRDefault="00FE0965">
            <w:pPr>
              <w:spacing w:after="0" w:line="240" w:lineRule="auto"/>
            </w:pPr>
          </w:p>
        </w:tc>
        <w:tc>
          <w:tcPr>
            <w:tcW w:w="1530" w:type="dxa"/>
            <w:tcBorders>
              <w:top w:val="nil"/>
              <w:left w:val="nil"/>
              <w:bottom w:val="nil"/>
              <w:right w:val="single" w:sz="16" w:space="0" w:color="000000"/>
            </w:tcBorders>
            <w:shd w:val="clear" w:color="auto" w:fill="FFFFFF"/>
          </w:tcPr>
          <w:p w:rsidR="00FE0965" w:rsidRDefault="00A0125B">
            <w:pPr>
              <w:spacing w:after="0"/>
              <w:ind w:left="60" w:right="60"/>
            </w:pPr>
            <w:r>
              <w:rPr>
                <w:rFonts w:ascii="Times New Roman" w:eastAsia="Times New Roman" w:hAnsi="Times New Roman" w:cs="Times New Roman"/>
                <w:sz w:val="24"/>
              </w:rPr>
              <w:t>polity2</w:t>
            </w:r>
          </w:p>
        </w:tc>
        <w:tc>
          <w:tcPr>
            <w:tcW w:w="1408" w:type="dxa"/>
            <w:tcBorders>
              <w:top w:val="nil"/>
              <w:left w:val="single" w:sz="16" w:space="0" w:color="000000"/>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-198671.330</w:t>
            </w:r>
          </w:p>
        </w:tc>
        <w:tc>
          <w:tcPr>
            <w:tcW w:w="1408"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76308.491</w:t>
            </w:r>
          </w:p>
        </w:tc>
        <w:tc>
          <w:tcPr>
            <w:tcW w:w="1469"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-.166</w:t>
            </w:r>
          </w:p>
        </w:tc>
        <w:tc>
          <w:tcPr>
            <w:tcW w:w="1024"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-2.604</w:t>
            </w:r>
          </w:p>
        </w:tc>
        <w:tc>
          <w:tcPr>
            <w:tcW w:w="1024" w:type="dxa"/>
            <w:tcBorders>
              <w:top w:val="nil"/>
              <w:bottom w:val="nil"/>
              <w:right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.015</w:t>
            </w:r>
          </w:p>
        </w:tc>
      </w:tr>
      <w:tr w:rsidR="00FE0965">
        <w:tc>
          <w:tcPr>
            <w:tcW w:w="734" w:type="dxa"/>
            <w:vMerge/>
            <w:tcBorders>
              <w:top w:val="single" w:sz="16" w:space="0" w:color="000000"/>
              <w:left w:val="single" w:sz="16" w:space="0" w:color="000000"/>
              <w:bottom w:val="single" w:sz="16" w:space="0" w:color="000000"/>
              <w:right w:val="nil"/>
            </w:tcBorders>
            <w:shd w:val="clear" w:color="auto" w:fill="FFFFFF"/>
          </w:tcPr>
          <w:p w:rsidR="00FE0965" w:rsidRDefault="00FE0965">
            <w:pPr>
              <w:spacing w:after="0" w:line="240" w:lineRule="auto"/>
            </w:pPr>
          </w:p>
        </w:tc>
        <w:tc>
          <w:tcPr>
            <w:tcW w:w="1530" w:type="dxa"/>
            <w:tcBorders>
              <w:top w:val="nil"/>
              <w:left w:val="nil"/>
              <w:bottom w:val="nil"/>
              <w:right w:val="single" w:sz="16" w:space="0" w:color="000000"/>
            </w:tcBorders>
            <w:shd w:val="clear" w:color="auto" w:fill="FFFFFF"/>
          </w:tcPr>
          <w:p w:rsidR="00FE0965" w:rsidRDefault="00A0125B">
            <w:pPr>
              <w:spacing w:after="0"/>
              <w:ind w:left="60" w:right="60"/>
            </w:pPr>
            <w:r>
              <w:rPr>
                <w:rFonts w:ascii="Times New Roman" w:eastAsia="Times New Roman" w:hAnsi="Times New Roman" w:cs="Times New Roman"/>
                <w:sz w:val="24"/>
              </w:rPr>
              <w:t>FDI</w:t>
            </w:r>
          </w:p>
        </w:tc>
        <w:tc>
          <w:tcPr>
            <w:tcW w:w="1408" w:type="dxa"/>
            <w:tcBorders>
              <w:top w:val="nil"/>
              <w:left w:val="single" w:sz="16" w:space="0" w:color="000000"/>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2.531E-7</w:t>
            </w:r>
          </w:p>
        </w:tc>
        <w:tc>
          <w:tcPr>
            <w:tcW w:w="1408"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.000</w:t>
            </w:r>
          </w:p>
        </w:tc>
        <w:tc>
          <w:tcPr>
            <w:tcW w:w="1469"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.012</w:t>
            </w:r>
          </w:p>
        </w:tc>
        <w:tc>
          <w:tcPr>
            <w:tcW w:w="1024"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.117</w:t>
            </w:r>
          </w:p>
        </w:tc>
        <w:tc>
          <w:tcPr>
            <w:tcW w:w="1024" w:type="dxa"/>
            <w:tcBorders>
              <w:top w:val="nil"/>
              <w:bottom w:val="nil"/>
              <w:right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.908</w:t>
            </w:r>
          </w:p>
        </w:tc>
      </w:tr>
      <w:tr w:rsidR="00FE0965">
        <w:tc>
          <w:tcPr>
            <w:tcW w:w="734" w:type="dxa"/>
            <w:vMerge/>
            <w:tcBorders>
              <w:top w:val="single" w:sz="16" w:space="0" w:color="000000"/>
              <w:left w:val="single" w:sz="16" w:space="0" w:color="000000"/>
              <w:bottom w:val="single" w:sz="16" w:space="0" w:color="000000"/>
              <w:right w:val="nil"/>
            </w:tcBorders>
            <w:shd w:val="clear" w:color="auto" w:fill="FFFFFF"/>
          </w:tcPr>
          <w:p w:rsidR="00FE0965" w:rsidRDefault="00FE0965">
            <w:pPr>
              <w:spacing w:after="0" w:line="240" w:lineRule="auto"/>
            </w:pPr>
          </w:p>
        </w:tc>
        <w:tc>
          <w:tcPr>
            <w:tcW w:w="1530" w:type="dxa"/>
            <w:tcBorders>
              <w:top w:val="nil"/>
              <w:left w:val="nil"/>
              <w:bottom w:val="nil"/>
              <w:right w:val="single" w:sz="16" w:space="0" w:color="000000"/>
            </w:tcBorders>
            <w:shd w:val="clear" w:color="auto" w:fill="FFFFFF"/>
          </w:tcPr>
          <w:p w:rsidR="00FE0965" w:rsidRDefault="00A0125B">
            <w:pPr>
              <w:spacing w:after="0"/>
              <w:ind w:left="60" w:right="60"/>
            </w:pPr>
            <w:r>
              <w:rPr>
                <w:rFonts w:ascii="Times New Roman" w:eastAsia="Times New Roman" w:hAnsi="Times New Roman" w:cs="Times New Roman"/>
                <w:sz w:val="24"/>
              </w:rPr>
              <w:t>GDPpercapita</w:t>
            </w:r>
          </w:p>
        </w:tc>
        <w:tc>
          <w:tcPr>
            <w:tcW w:w="1408" w:type="dxa"/>
            <w:tcBorders>
              <w:top w:val="nil"/>
              <w:left w:val="single" w:sz="16" w:space="0" w:color="000000"/>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-2.017</w:t>
            </w:r>
          </w:p>
        </w:tc>
        <w:tc>
          <w:tcPr>
            <w:tcW w:w="1408"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5.158</w:t>
            </w:r>
          </w:p>
        </w:tc>
        <w:tc>
          <w:tcPr>
            <w:tcW w:w="1469"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-.027</w:t>
            </w:r>
          </w:p>
        </w:tc>
        <w:tc>
          <w:tcPr>
            <w:tcW w:w="1024"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-.391</w:t>
            </w:r>
          </w:p>
        </w:tc>
        <w:tc>
          <w:tcPr>
            <w:tcW w:w="1024" w:type="dxa"/>
            <w:tcBorders>
              <w:top w:val="nil"/>
              <w:bottom w:val="nil"/>
              <w:right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.699</w:t>
            </w:r>
          </w:p>
        </w:tc>
      </w:tr>
      <w:tr w:rsidR="00FE0965">
        <w:tc>
          <w:tcPr>
            <w:tcW w:w="734" w:type="dxa"/>
            <w:vMerge/>
            <w:tcBorders>
              <w:top w:val="single" w:sz="16" w:space="0" w:color="000000"/>
              <w:left w:val="single" w:sz="16" w:space="0" w:color="000000"/>
              <w:bottom w:val="single" w:sz="16" w:space="0" w:color="000000"/>
              <w:right w:val="nil"/>
            </w:tcBorders>
            <w:shd w:val="clear" w:color="auto" w:fill="FFFFFF"/>
          </w:tcPr>
          <w:p w:rsidR="00FE0965" w:rsidRDefault="00FE0965">
            <w:pPr>
              <w:spacing w:after="0" w:line="240" w:lineRule="auto"/>
            </w:pPr>
          </w:p>
        </w:tc>
        <w:tc>
          <w:tcPr>
            <w:tcW w:w="1530" w:type="dxa"/>
            <w:tcBorders>
              <w:top w:val="nil"/>
              <w:left w:val="nil"/>
              <w:bottom w:val="nil"/>
              <w:right w:val="single" w:sz="16" w:space="0" w:color="000000"/>
            </w:tcBorders>
            <w:shd w:val="clear" w:color="auto" w:fill="FFFFFF"/>
          </w:tcPr>
          <w:p w:rsidR="00FE0965" w:rsidRDefault="00A0125B">
            <w:pPr>
              <w:spacing w:after="0"/>
              <w:ind w:left="60" w:right="60"/>
            </w:pPr>
            <w:r>
              <w:rPr>
                <w:rFonts w:ascii="Times New Roman" w:eastAsia="Times New Roman" w:hAnsi="Times New Roman" w:cs="Times New Roman"/>
                <w:sz w:val="24"/>
              </w:rPr>
              <w:t>GDPabsolute</w:t>
            </w:r>
          </w:p>
        </w:tc>
        <w:tc>
          <w:tcPr>
            <w:tcW w:w="1408" w:type="dxa"/>
            <w:tcBorders>
              <w:top w:val="nil"/>
              <w:left w:val="single" w:sz="16" w:space="0" w:color="000000"/>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5.127E-7</w:t>
            </w:r>
          </w:p>
        </w:tc>
        <w:tc>
          <w:tcPr>
            <w:tcW w:w="1408"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.000</w:t>
            </w:r>
          </w:p>
        </w:tc>
        <w:tc>
          <w:tcPr>
            <w:tcW w:w="1469"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.965</w:t>
            </w:r>
          </w:p>
        </w:tc>
        <w:tc>
          <w:tcPr>
            <w:tcW w:w="1024"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9.916</w:t>
            </w:r>
          </w:p>
        </w:tc>
        <w:tc>
          <w:tcPr>
            <w:tcW w:w="1024" w:type="dxa"/>
            <w:tcBorders>
              <w:top w:val="nil"/>
              <w:bottom w:val="nil"/>
              <w:right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.000</w:t>
            </w:r>
          </w:p>
        </w:tc>
      </w:tr>
      <w:tr w:rsidR="00FE0965">
        <w:tc>
          <w:tcPr>
            <w:tcW w:w="734" w:type="dxa"/>
            <w:vMerge/>
            <w:tcBorders>
              <w:top w:val="single" w:sz="16" w:space="0" w:color="000000"/>
              <w:left w:val="single" w:sz="16" w:space="0" w:color="000000"/>
              <w:bottom w:val="single" w:sz="16" w:space="0" w:color="000000"/>
              <w:right w:val="nil"/>
            </w:tcBorders>
            <w:shd w:val="clear" w:color="auto" w:fill="FFFFFF"/>
          </w:tcPr>
          <w:p w:rsidR="00FE0965" w:rsidRDefault="00FE0965">
            <w:pPr>
              <w:spacing w:after="0" w:line="240" w:lineRule="auto"/>
            </w:pPr>
          </w:p>
        </w:tc>
        <w:tc>
          <w:tcPr>
            <w:tcW w:w="1530" w:type="dxa"/>
            <w:tcBorders>
              <w:top w:val="nil"/>
              <w:left w:val="nil"/>
              <w:bottom w:val="nil"/>
              <w:right w:val="single" w:sz="16" w:space="0" w:color="000000"/>
            </w:tcBorders>
            <w:shd w:val="clear" w:color="auto" w:fill="FFFFFF"/>
          </w:tcPr>
          <w:p w:rsidR="00FE0965" w:rsidRDefault="00A0125B">
            <w:pPr>
              <w:spacing w:after="0"/>
              <w:ind w:left="60" w:right="60"/>
            </w:pPr>
            <w:r>
              <w:rPr>
                <w:rFonts w:ascii="Times New Roman" w:eastAsia="Times New Roman" w:hAnsi="Times New Roman" w:cs="Times New Roman"/>
                <w:sz w:val="24"/>
              </w:rPr>
              <w:t>FDIperGDP</w:t>
            </w:r>
          </w:p>
        </w:tc>
        <w:tc>
          <w:tcPr>
            <w:tcW w:w="1408" w:type="dxa"/>
            <w:tcBorders>
              <w:top w:val="nil"/>
              <w:left w:val="single" w:sz="16" w:space="0" w:color="000000"/>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-23978.162</w:t>
            </w:r>
          </w:p>
        </w:tc>
        <w:tc>
          <w:tcPr>
            <w:tcW w:w="1408"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1578265.393</w:t>
            </w:r>
          </w:p>
        </w:tc>
        <w:tc>
          <w:tcPr>
            <w:tcW w:w="1469"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-.001</w:t>
            </w:r>
          </w:p>
        </w:tc>
        <w:tc>
          <w:tcPr>
            <w:tcW w:w="1024" w:type="dxa"/>
            <w:tcBorders>
              <w:top w:val="nil"/>
              <w:bottom w:val="nil"/>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-.015</w:t>
            </w:r>
          </w:p>
        </w:tc>
        <w:tc>
          <w:tcPr>
            <w:tcW w:w="1024" w:type="dxa"/>
            <w:tcBorders>
              <w:top w:val="nil"/>
              <w:bottom w:val="nil"/>
              <w:right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.988</w:t>
            </w:r>
          </w:p>
        </w:tc>
      </w:tr>
      <w:tr w:rsidR="00FE0965">
        <w:tc>
          <w:tcPr>
            <w:tcW w:w="734" w:type="dxa"/>
            <w:vMerge/>
            <w:tcBorders>
              <w:top w:val="single" w:sz="16" w:space="0" w:color="000000"/>
              <w:left w:val="single" w:sz="16" w:space="0" w:color="000000"/>
              <w:bottom w:val="single" w:sz="16" w:space="0" w:color="000000"/>
              <w:right w:val="nil"/>
            </w:tcBorders>
            <w:shd w:val="clear" w:color="auto" w:fill="FFFFFF"/>
          </w:tcPr>
          <w:p w:rsidR="00FE0965" w:rsidRDefault="00FE0965">
            <w:pPr>
              <w:spacing w:after="0" w:line="240" w:lineRule="auto"/>
            </w:pPr>
          </w:p>
        </w:tc>
        <w:tc>
          <w:tcPr>
            <w:tcW w:w="1530" w:type="dxa"/>
            <w:tcBorders>
              <w:top w:val="nil"/>
              <w:left w:val="nil"/>
              <w:bottom w:val="single" w:sz="16" w:space="0" w:color="000000"/>
              <w:right w:val="single" w:sz="16" w:space="0" w:color="000000"/>
            </w:tcBorders>
            <w:shd w:val="clear" w:color="auto" w:fill="FFFFFF"/>
          </w:tcPr>
          <w:p w:rsidR="00FE0965" w:rsidRDefault="00A0125B">
            <w:pPr>
              <w:spacing w:after="0"/>
              <w:ind w:left="60" w:right="60"/>
            </w:pPr>
            <w:r>
              <w:rPr>
                <w:rFonts w:ascii="Times New Roman" w:eastAsia="Times New Roman" w:hAnsi="Times New Roman" w:cs="Times New Roman"/>
                <w:sz w:val="24"/>
              </w:rPr>
              <w:t>EthnicGrpFract</w:t>
            </w:r>
          </w:p>
        </w:tc>
        <w:tc>
          <w:tcPr>
            <w:tcW w:w="1408" w:type="dxa"/>
            <w:tcBorders>
              <w:top w:val="nil"/>
              <w:left w:val="single" w:sz="16" w:space="0" w:color="000000"/>
              <w:bottom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92156.698</w:t>
            </w:r>
          </w:p>
        </w:tc>
        <w:tc>
          <w:tcPr>
            <w:tcW w:w="1408" w:type="dxa"/>
            <w:tcBorders>
              <w:top w:val="nil"/>
              <w:bottom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459679.378</w:t>
            </w:r>
          </w:p>
        </w:tc>
        <w:tc>
          <w:tcPr>
            <w:tcW w:w="1469" w:type="dxa"/>
            <w:tcBorders>
              <w:top w:val="nil"/>
              <w:bottom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.012</w:t>
            </w:r>
          </w:p>
        </w:tc>
        <w:tc>
          <w:tcPr>
            <w:tcW w:w="1024" w:type="dxa"/>
            <w:tcBorders>
              <w:top w:val="nil"/>
              <w:bottom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.200</w:t>
            </w:r>
          </w:p>
        </w:tc>
        <w:tc>
          <w:tcPr>
            <w:tcW w:w="1024" w:type="dxa"/>
            <w:tcBorders>
              <w:top w:val="nil"/>
              <w:bottom w:val="single" w:sz="16" w:space="0" w:color="000000"/>
              <w:right w:val="single" w:sz="16" w:space="0" w:color="000000"/>
            </w:tcBorders>
            <w:shd w:val="clear" w:color="auto" w:fill="FFFFFF"/>
            <w:vAlign w:val="center"/>
          </w:tcPr>
          <w:p w:rsidR="00FE0965" w:rsidRDefault="00A0125B">
            <w:pPr>
              <w:spacing w:after="0"/>
              <w:ind w:left="60" w:right="60"/>
              <w:jc w:val="right"/>
            </w:pPr>
            <w:r>
              <w:rPr>
                <w:rFonts w:ascii="Times New Roman" w:eastAsia="Times New Roman" w:hAnsi="Times New Roman" w:cs="Times New Roman"/>
                <w:sz w:val="24"/>
              </w:rPr>
              <w:t>.843</w:t>
            </w:r>
          </w:p>
        </w:tc>
      </w:tr>
      <w:tr w:rsidR="00FE0965">
        <w:tc>
          <w:tcPr>
            <w:tcW w:w="8597" w:type="dxa"/>
            <w:gridSpan w:val="7"/>
            <w:tcBorders>
              <w:top w:val="nil"/>
              <w:left w:val="nil"/>
              <w:bottom w:val="nil"/>
              <w:right w:val="nil"/>
            </w:tcBorders>
            <w:shd w:val="clear" w:color="auto" w:fill="FFFFFF"/>
          </w:tcPr>
          <w:p w:rsidR="00FE0965" w:rsidRDefault="00A0125B">
            <w:pPr>
              <w:spacing w:after="0"/>
              <w:ind w:left="60" w:right="60"/>
            </w:pPr>
            <w:r>
              <w:rPr>
                <w:rFonts w:ascii="Times New Roman" w:eastAsia="Times New Roman" w:hAnsi="Times New Roman" w:cs="Times New Roman"/>
                <w:sz w:val="24"/>
              </w:rPr>
              <w:t>a. Dependent Variable: LULUCF</w:t>
            </w:r>
          </w:p>
        </w:tc>
      </w:tr>
    </w:tbl>
    <w:p w:rsidR="00FE0965" w:rsidRDefault="00FE0965">
      <w:pPr>
        <w:spacing w:line="480" w:lineRule="auto"/>
      </w:pPr>
      <w:bookmarkStart w:id="1" w:name="h.m3ptynk88iuo" w:colFirst="0" w:colLast="0"/>
      <w:bookmarkEnd w:id="1"/>
    </w:p>
    <w:p w:rsidR="00FE0965" w:rsidRDefault="00A0125B">
      <w:pPr>
        <w:spacing w:line="480" w:lineRule="auto"/>
        <w:ind w:firstLine="720"/>
      </w:pPr>
      <w:r>
        <w:rPr>
          <w:rFonts w:ascii="Times New Roman" w:eastAsia="Times New Roman" w:hAnsi="Times New Roman" w:cs="Times New Roman"/>
          <w:sz w:val="24"/>
        </w:rPr>
        <w:t xml:space="preserve">Hypothesis II was found to be incorrect: </w:t>
      </w:r>
      <w:r>
        <w:rPr>
          <w:rFonts w:ascii="Times New Roman" w:eastAsia="Times New Roman" w:hAnsi="Times New Roman" w:cs="Times New Roman"/>
          <w:i/>
          <w:sz w:val="24"/>
        </w:rPr>
        <w:t xml:space="preserve">States are more likely to comply if market-based incentives are set in place by the Protocol to facilitate trade, making compliance easier for states. </w:t>
      </w:r>
      <w:r>
        <w:rPr>
          <w:rFonts w:ascii="Times New Roman" w:eastAsia="Times New Roman" w:hAnsi="Times New Roman" w:cs="Times New Roman"/>
          <w:sz w:val="24"/>
        </w:rPr>
        <w:t>Emissions trading is “one of the three Kyoto mechanisms, by which an Annex I Party may transfer Kyoto Pro</w:t>
      </w:r>
      <w:r>
        <w:rPr>
          <w:rFonts w:ascii="Times New Roman" w:eastAsia="Times New Roman" w:hAnsi="Times New Roman" w:cs="Times New Roman"/>
          <w:sz w:val="24"/>
        </w:rPr>
        <w:t xml:space="preserve">tocol units to or acquire units from another Annex I Party. An Annex I Party must meet specific eligibility requirements to participate in emissions trading” (“Glossary of Climate Change Acronyms,” UNFCCC website). </w:t>
      </w:r>
    </w:p>
    <w:p w:rsidR="00FE0965" w:rsidRDefault="00A0125B">
      <w:pPr>
        <w:spacing w:line="480" w:lineRule="auto"/>
        <w:ind w:firstLine="720"/>
      </w:pPr>
      <w:r>
        <w:rPr>
          <w:rFonts w:ascii="Times New Roman" w:eastAsia="Times New Roman" w:hAnsi="Times New Roman" w:cs="Times New Roman"/>
          <w:sz w:val="24"/>
        </w:rPr>
        <w:t>Emissions trading does not exist univers</w:t>
      </w:r>
      <w:r>
        <w:rPr>
          <w:rFonts w:ascii="Times New Roman" w:eastAsia="Times New Roman" w:hAnsi="Times New Roman" w:cs="Times New Roman"/>
          <w:sz w:val="24"/>
        </w:rPr>
        <w:t>ally. Currently trading schemes are in Australia, Canada, the European Union, Japan, and New Zealand (“Emissions Trading,” Sourcewatch website). States with carbon market trading schemes were both compliant and non-compliant. Of the states with carbon mark</w:t>
      </w:r>
      <w:r>
        <w:rPr>
          <w:rFonts w:ascii="Times New Roman" w:eastAsia="Times New Roman" w:hAnsi="Times New Roman" w:cs="Times New Roman"/>
          <w:sz w:val="24"/>
        </w:rPr>
        <w:t>ets the scores were: Australia(1), Canada(3), the European Union(1-3), Japan(2), and New Zealand(3). Although there was variation across all possible scores, states were actually more likely to be non-compliant. However, the generalizability of these resul</w:t>
      </w:r>
      <w:r>
        <w:rPr>
          <w:rFonts w:ascii="Times New Roman" w:eastAsia="Times New Roman" w:hAnsi="Times New Roman" w:cs="Times New Roman"/>
          <w:sz w:val="24"/>
        </w:rPr>
        <w:t xml:space="preserve">ts is questionable since it was not a universe of cases due to the fact that not every state has created a carbon market trading scheme currently. This hypothesis would fare better to test again in the future when more states have carbon markets, and thus </w:t>
      </w:r>
      <w:r>
        <w:rPr>
          <w:rFonts w:ascii="Times New Roman" w:eastAsia="Times New Roman" w:hAnsi="Times New Roman" w:cs="Times New Roman"/>
          <w:sz w:val="24"/>
        </w:rPr>
        <w:t xml:space="preserve">reveal more variation in the ways they affect state compliance behavior. </w:t>
      </w:r>
    </w:p>
    <w:p w:rsidR="00FE0965" w:rsidRDefault="00A0125B">
      <w:pPr>
        <w:spacing w:line="480" w:lineRule="auto"/>
      </w:pPr>
      <w:bookmarkStart w:id="2" w:name="h.vbmtsjk6heyx" w:colFirst="0" w:colLast="0"/>
      <w:bookmarkEnd w:id="2"/>
      <w:r>
        <w:rPr>
          <w:rFonts w:ascii="Times New Roman" w:eastAsia="Times New Roman" w:hAnsi="Times New Roman" w:cs="Times New Roman"/>
          <w:b/>
          <w:sz w:val="24"/>
        </w:rPr>
        <w:t>Brief Case Analysis: Russian Federation, Switzerland, and the United States</w:t>
      </w:r>
    </w:p>
    <w:p w:rsidR="00FE0965" w:rsidRDefault="00A0125B">
      <w:pPr>
        <w:spacing w:line="480" w:lineRule="auto"/>
      </w:pPr>
      <w:bookmarkStart w:id="3" w:name="h.5n90jwepfwkb" w:colFirst="0" w:colLast="0"/>
      <w:bookmarkEnd w:id="3"/>
      <w:r>
        <w:rPr>
          <w:rFonts w:ascii="Times New Roman" w:eastAsia="Times New Roman" w:hAnsi="Times New Roman" w:cs="Times New Roman"/>
          <w:sz w:val="24"/>
        </w:rPr>
        <w:tab/>
        <w:t>Each of these cases had surprising compliance scores. The Russian Federation scored very high (I) when on</w:t>
      </w:r>
      <w:r>
        <w:rPr>
          <w:rFonts w:ascii="Times New Roman" w:eastAsia="Times New Roman" w:hAnsi="Times New Roman" w:cs="Times New Roman"/>
          <w:sz w:val="24"/>
        </w:rPr>
        <w:t>e would expect this state not to for various reasons, namely its anti-</w:t>
      </w:r>
      <w:r>
        <w:rPr>
          <w:rFonts w:ascii="Times New Roman" w:eastAsia="Times New Roman" w:hAnsi="Times New Roman" w:cs="Times New Roman"/>
          <w:sz w:val="24"/>
        </w:rPr>
        <w:lastRenderedPageBreak/>
        <w:t>democratic practices and history of industrialized pollution. Switzerland scored as average compliance (II) when one would expect this state, which has a great reputation, to be a high c</w:t>
      </w:r>
      <w:r>
        <w:rPr>
          <w:rFonts w:ascii="Times New Roman" w:eastAsia="Times New Roman" w:hAnsi="Times New Roman" w:cs="Times New Roman"/>
          <w:sz w:val="24"/>
        </w:rPr>
        <w:t>ompliance case, so that it could protect its reputation. Finally, the United States scored very low on compliance (III) when one would expect this state to be very high because of its pro-democratic stance and exceptional material resources. According to n</w:t>
      </w:r>
      <w:r>
        <w:rPr>
          <w:rFonts w:ascii="Times New Roman" w:eastAsia="Times New Roman" w:hAnsi="Times New Roman" w:cs="Times New Roman"/>
          <w:sz w:val="24"/>
        </w:rPr>
        <w:t xml:space="preserve">eo-Liberal theory, states with the capability to comply and signature to the treaty are likely to do so--it is a matter of having the resources mostly. This was clearly not the case, since all three states had the capability and yet there was variation in </w:t>
      </w:r>
      <w:r>
        <w:rPr>
          <w:rFonts w:ascii="Times New Roman" w:eastAsia="Times New Roman" w:hAnsi="Times New Roman" w:cs="Times New Roman"/>
          <w:sz w:val="24"/>
        </w:rPr>
        <w:t xml:space="preserve">their outcomes. This section uses more detailed information about domestic politics of each country in order to address the perception of ‘uneven workloads’ first laid out in Hypothesis III: </w:t>
      </w:r>
      <w:r>
        <w:rPr>
          <w:rFonts w:ascii="Times New Roman" w:eastAsia="Times New Roman" w:hAnsi="Times New Roman" w:cs="Times New Roman"/>
          <w:i/>
          <w:sz w:val="24"/>
        </w:rPr>
        <w:t xml:space="preserve"> The presence of a binding target for Annex I countries and absen</w:t>
      </w:r>
      <w:r>
        <w:rPr>
          <w:rFonts w:ascii="Times New Roman" w:eastAsia="Times New Roman" w:hAnsi="Times New Roman" w:cs="Times New Roman"/>
          <w:i/>
          <w:sz w:val="24"/>
        </w:rPr>
        <w:t>ce of a binding target for non-Annex I countries causes countries to not ratify or enforce the Protocol, since the workload of reducing emissions is not evenly distributed.</w:t>
      </w:r>
    </w:p>
    <w:p w:rsidR="00FE0965" w:rsidRDefault="00A0125B">
      <w:pPr>
        <w:spacing w:line="480" w:lineRule="auto"/>
      </w:pPr>
      <w:bookmarkStart w:id="4" w:name="h.dc71ytj90b4i" w:colFirst="0" w:colLast="0"/>
      <w:bookmarkEnd w:id="4"/>
      <w:r>
        <w:rPr>
          <w:rFonts w:ascii="Times New Roman" w:eastAsia="Times New Roman" w:hAnsi="Times New Roman" w:cs="Times New Roman"/>
          <w:i/>
          <w:sz w:val="24"/>
        </w:rPr>
        <w:t>United States: Domestic Constraints</w:t>
      </w:r>
    </w:p>
    <w:p w:rsidR="00FE0965" w:rsidRDefault="00A0125B">
      <w:pPr>
        <w:spacing w:line="480" w:lineRule="auto"/>
        <w:ind w:firstLine="720"/>
      </w:pPr>
      <w:bookmarkStart w:id="5" w:name="h.fc0r1bnbcl21" w:colFirst="0" w:colLast="0"/>
      <w:bookmarkEnd w:id="5"/>
      <w:r>
        <w:rPr>
          <w:rFonts w:ascii="Times New Roman" w:eastAsia="Times New Roman" w:hAnsi="Times New Roman" w:cs="Times New Roman"/>
          <w:sz w:val="24"/>
        </w:rPr>
        <w:t>In 2001 the Bush administration declared that i</w:t>
      </w:r>
      <w:r>
        <w:rPr>
          <w:rFonts w:ascii="Times New Roman" w:eastAsia="Times New Roman" w:hAnsi="Times New Roman" w:cs="Times New Roman"/>
          <w:sz w:val="24"/>
        </w:rPr>
        <w:t>t would not ratify the Kyoto Protocol because the science was uncertain, it did not impose binding costs on developing states, and it could potentially drive up domestic energy prices (Hovi, Skodven, Andrese, p.1). The major reservation for the US was that</w:t>
      </w:r>
      <w:r>
        <w:rPr>
          <w:rFonts w:ascii="Times New Roman" w:eastAsia="Times New Roman" w:hAnsi="Times New Roman" w:cs="Times New Roman"/>
          <w:sz w:val="24"/>
        </w:rPr>
        <w:t xml:space="preserve"> the countries legally bound to comply to emissions reductions represented less than a third of the world’s emissions (ibid). States with high levels of GHG emissions, like China, India, and Brazil, were not legally bound to any target levels. Not signing </w:t>
      </w:r>
      <w:r>
        <w:rPr>
          <w:rFonts w:ascii="Times New Roman" w:eastAsia="Times New Roman" w:hAnsi="Times New Roman" w:cs="Times New Roman"/>
          <w:sz w:val="24"/>
        </w:rPr>
        <w:t>the protocol was also was a strategic move, since the protocol could not enter into force until 55 countries had ratified it (accounting for 55% of 1990 CO2 emissions) (ibid). This effectively ‘passed the buck’ to Russia, whose role will be discussed in th</w:t>
      </w:r>
      <w:r>
        <w:rPr>
          <w:rFonts w:ascii="Times New Roman" w:eastAsia="Times New Roman" w:hAnsi="Times New Roman" w:cs="Times New Roman"/>
          <w:sz w:val="24"/>
        </w:rPr>
        <w:t xml:space="preserve">e second case. The US is the </w:t>
      </w:r>
      <w:r>
        <w:rPr>
          <w:rFonts w:ascii="Times New Roman" w:eastAsia="Times New Roman" w:hAnsi="Times New Roman" w:cs="Times New Roman"/>
          <w:sz w:val="24"/>
        </w:rPr>
        <w:lastRenderedPageBreak/>
        <w:t>world’s second largest emitter of greenhouse gases, second only to China, and only since 2010. Yet the US has been involved in the annual Conference of the Party (COP) meetings, despite its decision not to sign. For instance, t</w:t>
      </w:r>
      <w:r>
        <w:rPr>
          <w:rFonts w:ascii="Times New Roman" w:eastAsia="Times New Roman" w:hAnsi="Times New Roman" w:cs="Times New Roman"/>
          <w:sz w:val="24"/>
        </w:rPr>
        <w:t>he US pushed for the implementation of flexible mechanisms that would reduce the cost of reducing GHGs. The revealing aspect about the US is that it won’t formally ratify the protocol, but continues to be involved. The ‘Umbrella group’ is a “loose coalitio</w:t>
      </w:r>
      <w:r>
        <w:rPr>
          <w:rFonts w:ascii="Times New Roman" w:eastAsia="Times New Roman" w:hAnsi="Times New Roman" w:cs="Times New Roman"/>
          <w:sz w:val="24"/>
        </w:rPr>
        <w:t>n of non-EU developed countries which formed following the adoption of the Kyoto Protocol” and includes Australia, Canada, Iceland, Japan, New Zealand, Norway, the Russian Federation, Ukraine, and the US (“Who’s who? Groupings and Actors,” UNFCCC website).</w:t>
      </w:r>
      <w:r>
        <w:rPr>
          <w:rFonts w:ascii="Times New Roman" w:eastAsia="Times New Roman" w:hAnsi="Times New Roman" w:cs="Times New Roman"/>
          <w:sz w:val="24"/>
        </w:rPr>
        <w:t xml:space="preserve"> </w:t>
      </w:r>
    </w:p>
    <w:p w:rsidR="00FE0965" w:rsidRDefault="00A0125B">
      <w:pPr>
        <w:spacing w:line="480" w:lineRule="auto"/>
        <w:ind w:firstLine="720"/>
      </w:pPr>
      <w:bookmarkStart w:id="6" w:name="h.p6rgcl3a49f6" w:colFirst="0" w:colLast="0"/>
      <w:bookmarkEnd w:id="6"/>
      <w:r>
        <w:rPr>
          <w:rFonts w:ascii="Times New Roman" w:eastAsia="Times New Roman" w:hAnsi="Times New Roman" w:cs="Times New Roman"/>
          <w:sz w:val="24"/>
        </w:rPr>
        <w:t xml:space="preserve">The US has largely stalled in passing climate change legislation since the mid-2000s. Since the end of the first commitment period of the protocol ended in 2012, an increasing gap in relevant legislation passed has grown between the EU and the US. Keleman </w:t>
      </w:r>
      <w:r>
        <w:rPr>
          <w:rFonts w:ascii="Times New Roman" w:eastAsia="Times New Roman" w:hAnsi="Times New Roman" w:cs="Times New Roman"/>
          <w:sz w:val="24"/>
        </w:rPr>
        <w:t>and Vogel (2010) argue that the US has “traded places” with the EU--it has gone from leading environmental policies in the 1960s and 70s to largely opposing multilateral action in more recent times. These two entities are the most viable for “exercising gl</w:t>
      </w:r>
      <w:r>
        <w:rPr>
          <w:rFonts w:ascii="Times New Roman" w:eastAsia="Times New Roman" w:hAnsi="Times New Roman" w:cs="Times New Roman"/>
          <w:sz w:val="24"/>
        </w:rPr>
        <w:t>obal environmental leadership” (Keleman and Vogel, p.431). For instance, in 2007 the EU implemented the ‘20-20-20 policy’ to reduce GHGs by 20 percent by 2020, increase renewable energy sources by 20 percent, and cut energy consumption by 20 percent (Skjae</w:t>
      </w:r>
      <w:r>
        <w:rPr>
          <w:rFonts w:ascii="Times New Roman" w:eastAsia="Times New Roman" w:hAnsi="Times New Roman" w:cs="Times New Roman"/>
          <w:sz w:val="24"/>
        </w:rPr>
        <w:t xml:space="preserve">rseth, Birger, Bang, Schreurs, p.61). Another example is the EU Emissions Trading Scheme (ETS) that implemented a Europe-wide carbon market in 2008. The US failed to pass proposed legislation on climate change in 2009 (proposed by President Obama; it died </w:t>
      </w:r>
      <w:r>
        <w:rPr>
          <w:rFonts w:ascii="Times New Roman" w:eastAsia="Times New Roman" w:hAnsi="Times New Roman" w:cs="Times New Roman"/>
          <w:sz w:val="24"/>
        </w:rPr>
        <w:t>in the Senate). President Obama then utilized the Clean Air Act to implement stricter emissions reductions requirements by the Environmental Protection Agency (EPA) for the transport sector and stationary emissions sources (Skjaerseth, Birger, Bang, Schreu</w:t>
      </w:r>
      <w:r>
        <w:rPr>
          <w:rFonts w:ascii="Times New Roman" w:eastAsia="Times New Roman" w:hAnsi="Times New Roman" w:cs="Times New Roman"/>
          <w:sz w:val="24"/>
        </w:rPr>
        <w:t xml:space="preserve">rs, p.62).  </w:t>
      </w:r>
      <w:r>
        <w:rPr>
          <w:rFonts w:ascii="Times New Roman" w:eastAsia="Times New Roman" w:hAnsi="Times New Roman" w:cs="Times New Roman"/>
          <w:sz w:val="24"/>
        </w:rPr>
        <w:lastRenderedPageBreak/>
        <w:t>One reason for the US stall is that the structure of the US domestic political system constrains legislators to constituent interests in order to be re-the elected (Schumpeter 1976). The EU Commission, in contrast, has weak ties to European con</w:t>
      </w:r>
      <w:r>
        <w:rPr>
          <w:rFonts w:ascii="Times New Roman" w:eastAsia="Times New Roman" w:hAnsi="Times New Roman" w:cs="Times New Roman"/>
          <w:sz w:val="24"/>
        </w:rPr>
        <w:t>stituents. Another reason for the US stall is the large number of veto players that slows down legislation negotiation (Tsebelis 1995).  In 2006, the Democrats began pushing for climate change legislation, capitalizing on the unpopularity of the Bush Admin</w:t>
      </w:r>
      <w:r>
        <w:rPr>
          <w:rFonts w:ascii="Times New Roman" w:eastAsia="Times New Roman" w:hAnsi="Times New Roman" w:cs="Times New Roman"/>
          <w:sz w:val="24"/>
        </w:rPr>
        <w:t>istration in the Iraq War. However, the energy industry supported the Republican Party and pulled in questioning of the seriousness and legitimacy of the anthropogenic causes of climate change science. Wind and clean energy sectors were also important lobb</w:t>
      </w:r>
      <w:r>
        <w:rPr>
          <w:rFonts w:ascii="Times New Roman" w:eastAsia="Times New Roman" w:hAnsi="Times New Roman" w:cs="Times New Roman"/>
          <w:sz w:val="24"/>
        </w:rPr>
        <w:t>ying sources at this time. There were many voices involved in the issue, and these influenced negotiations in Congress. The bills proposed were unsuccessful because “competing Senate bills sought to accommodate the constituency interests of pivotal, fence-</w:t>
      </w:r>
      <w:r>
        <w:rPr>
          <w:rFonts w:ascii="Times New Roman" w:eastAsia="Times New Roman" w:hAnsi="Times New Roman" w:cs="Times New Roman"/>
          <w:sz w:val="24"/>
        </w:rPr>
        <w:t>sitting lawmakers” (Skjaerseth, Birger, Bang, Schreurs, p.73). Harrison (2007) found that public opinion tended to be supportive but inattentive and pro-energy groups were highly mobilized (p.95). Actor preferences were strong when it came to energy policy</w:t>
      </w:r>
      <w:r>
        <w:rPr>
          <w:rFonts w:ascii="Times New Roman" w:eastAsia="Times New Roman" w:hAnsi="Times New Roman" w:cs="Times New Roman"/>
          <w:sz w:val="24"/>
        </w:rPr>
        <w:t>, and therefore, issue-linkage was low across other areas where politicians might have benefitted and thus compromised. This influence of the domestic politics on state positions in international issues is called regulatory politics. Both domestic actors a</w:t>
      </w:r>
      <w:r>
        <w:rPr>
          <w:rFonts w:ascii="Times New Roman" w:eastAsia="Times New Roman" w:hAnsi="Times New Roman" w:cs="Times New Roman"/>
          <w:sz w:val="24"/>
        </w:rPr>
        <w:t>nd domestic regulations affect groups (both industry and pro-environment) to pressure politicians to advocate certain positions. This can lead to deadlock, or inaction, and explains the United States’ lagging in its potential for leadership in the Kyoto Pr</w:t>
      </w:r>
      <w:r>
        <w:rPr>
          <w:rFonts w:ascii="Times New Roman" w:eastAsia="Times New Roman" w:hAnsi="Times New Roman" w:cs="Times New Roman"/>
          <w:sz w:val="24"/>
        </w:rPr>
        <w:t xml:space="preserve">otocol and other environmental multilateral actions. </w:t>
      </w:r>
    </w:p>
    <w:p w:rsidR="00FE0965" w:rsidRDefault="00A0125B">
      <w:pPr>
        <w:spacing w:line="480" w:lineRule="auto"/>
      </w:pPr>
      <w:bookmarkStart w:id="7" w:name="h.ym76rriwhics" w:colFirst="0" w:colLast="0"/>
      <w:bookmarkEnd w:id="7"/>
      <w:r>
        <w:rPr>
          <w:rFonts w:ascii="Times New Roman" w:eastAsia="Times New Roman" w:hAnsi="Times New Roman" w:cs="Times New Roman"/>
          <w:i/>
          <w:sz w:val="24"/>
        </w:rPr>
        <w:t>Russian Federation: Issue Linkages</w:t>
      </w:r>
    </w:p>
    <w:p w:rsidR="00FE0965" w:rsidRDefault="00A0125B">
      <w:pPr>
        <w:spacing w:line="480" w:lineRule="auto"/>
      </w:pPr>
      <w:bookmarkStart w:id="8" w:name="h.j0lxswlgh1uh" w:colFirst="0" w:colLast="0"/>
      <w:bookmarkEnd w:id="8"/>
      <w:r>
        <w:rPr>
          <w:rFonts w:ascii="Times New Roman" w:eastAsia="Times New Roman" w:hAnsi="Times New Roman" w:cs="Times New Roman"/>
          <w:sz w:val="24"/>
        </w:rPr>
        <w:lastRenderedPageBreak/>
        <w:tab/>
        <w:t>Russia ratified the Kyoto Protocol on November 5, 2004. This action gave the Protocol the percentage needed to enter into force, and so was an impactful decision. Rus</w:t>
      </w:r>
      <w:r>
        <w:rPr>
          <w:rFonts w:ascii="Times New Roman" w:eastAsia="Times New Roman" w:hAnsi="Times New Roman" w:cs="Times New Roman"/>
          <w:sz w:val="24"/>
        </w:rPr>
        <w:t>sian policy tended to prioritize economic development over environmental protection, so this decision seemed surprising.  Russia is also economically dependent on fossil fuels since it is  the world’s largest exporter of natural gas as well as the third la</w:t>
      </w:r>
      <w:r>
        <w:rPr>
          <w:rFonts w:ascii="Times New Roman" w:eastAsia="Times New Roman" w:hAnsi="Times New Roman" w:cs="Times New Roman"/>
          <w:sz w:val="24"/>
        </w:rPr>
        <w:t>rgest energy consumer (Henry and Sundstrom, p.47). However, Russia’s industrial emissions have decreased significantly since the collapse of the Soviet Union, making the commitment much easier to meet. Russia’s emissions fell by 30 percent between 1990 and</w:t>
      </w:r>
      <w:r>
        <w:rPr>
          <w:rFonts w:ascii="Times New Roman" w:eastAsia="Times New Roman" w:hAnsi="Times New Roman" w:cs="Times New Roman"/>
          <w:sz w:val="24"/>
        </w:rPr>
        <w:t xml:space="preserve"> 2000 (Henry and Sundstrom, p.49). This meant that Russia actually  had extra carbon credits it could profit from, by selling them to heavier-polluting states. Russia announced it would ratify the protocol in 2002, before the World Summit  on Sustainable D</w:t>
      </w:r>
      <w:r>
        <w:rPr>
          <w:rFonts w:ascii="Times New Roman" w:eastAsia="Times New Roman" w:hAnsi="Times New Roman" w:cs="Times New Roman"/>
          <w:sz w:val="24"/>
        </w:rPr>
        <w:t>evelopment, but then waited to ratify in actuality for another two years (Henry and Sundstrom, p.50). The Russian public was largely uninterested in the ratification of the protocol, and was not a significant factor in Putin’s decision-making process. Howe</w:t>
      </w:r>
      <w:r>
        <w:rPr>
          <w:rFonts w:ascii="Times New Roman" w:eastAsia="Times New Roman" w:hAnsi="Times New Roman" w:cs="Times New Roman"/>
          <w:sz w:val="24"/>
        </w:rPr>
        <w:t>ver, the powerful business and energy lobbies were in favor of the protocol, which is very different from the situation in the United States where these groups were vehemently opposed. The decision-making largely came down to Putin, since Russia is a super</w:t>
      </w:r>
      <w:r>
        <w:rPr>
          <w:rFonts w:ascii="Times New Roman" w:eastAsia="Times New Roman" w:hAnsi="Times New Roman" w:cs="Times New Roman"/>
          <w:sz w:val="24"/>
        </w:rPr>
        <w:t>-presidential system where the executive holds the majority of power. Putin needed the approval of the Federal Council and the State Duma, but “because of his institutional power, it was Vladimir Putin’s decision alone that would determine the outcome of t</w:t>
      </w:r>
      <w:r>
        <w:rPr>
          <w:rFonts w:ascii="Times New Roman" w:eastAsia="Times New Roman" w:hAnsi="Times New Roman" w:cs="Times New Roman"/>
          <w:sz w:val="24"/>
        </w:rPr>
        <w:t>he ratification debate” (Henry and Sundstrom, p.56). This decision-making structure is very different from either the US or Switzerland, where the executive is much more constrained. Ultimately, Putin decided to ratify the treaty to “symbolize Russia’s coo</w:t>
      </w:r>
      <w:r>
        <w:rPr>
          <w:rFonts w:ascii="Times New Roman" w:eastAsia="Times New Roman" w:hAnsi="Times New Roman" w:cs="Times New Roman"/>
          <w:sz w:val="24"/>
        </w:rPr>
        <w:t xml:space="preserve">perative stance as an international partner” and “signif[y] a degree of strategic distancing from the United States and a closer alliance with Europe” (Henry and Sundstrom, p.59). By supporting norms that Europe </w:t>
      </w:r>
      <w:r>
        <w:rPr>
          <w:rFonts w:ascii="Times New Roman" w:eastAsia="Times New Roman" w:hAnsi="Times New Roman" w:cs="Times New Roman"/>
          <w:sz w:val="24"/>
        </w:rPr>
        <w:lastRenderedPageBreak/>
        <w:t xml:space="preserve">favored, Russia was able to gain EU support </w:t>
      </w:r>
      <w:r>
        <w:rPr>
          <w:rFonts w:ascii="Times New Roman" w:eastAsia="Times New Roman" w:hAnsi="Times New Roman" w:cs="Times New Roman"/>
          <w:sz w:val="24"/>
        </w:rPr>
        <w:t xml:space="preserve">to enter the World Trade Organization, also. Therefore, Russia’s ratification was largely incentivized by issue linkage facilitated by appearing more friendly toward the West. This shows the strategic use of norms advocated by the international community. </w:t>
      </w:r>
      <w:r>
        <w:rPr>
          <w:rFonts w:ascii="Times New Roman" w:eastAsia="Times New Roman" w:hAnsi="Times New Roman" w:cs="Times New Roman"/>
          <w:sz w:val="24"/>
        </w:rPr>
        <w:t xml:space="preserve">Putin was able to utilize environmental norms to gain economic benefits for Russia. </w:t>
      </w:r>
    </w:p>
    <w:p w:rsidR="00FE0965" w:rsidRDefault="00A0125B">
      <w:pPr>
        <w:spacing w:line="480" w:lineRule="auto"/>
      </w:pPr>
      <w:bookmarkStart w:id="9" w:name="h.oe3zuw99fpr6" w:colFirst="0" w:colLast="0"/>
      <w:bookmarkEnd w:id="9"/>
      <w:r>
        <w:rPr>
          <w:rFonts w:ascii="Times New Roman" w:eastAsia="Times New Roman" w:hAnsi="Times New Roman" w:cs="Times New Roman"/>
          <w:i/>
          <w:sz w:val="24"/>
        </w:rPr>
        <w:t>Switzerland: Setting High Goals</w:t>
      </w:r>
    </w:p>
    <w:p w:rsidR="00FE0965" w:rsidRDefault="00A0125B">
      <w:pPr>
        <w:spacing w:line="480" w:lineRule="auto"/>
      </w:pPr>
      <w:bookmarkStart w:id="10" w:name="h.cf5kzoadi5ys" w:colFirst="0" w:colLast="0"/>
      <w:bookmarkEnd w:id="10"/>
      <w:r>
        <w:rPr>
          <w:rFonts w:ascii="Times New Roman" w:eastAsia="Times New Roman" w:hAnsi="Times New Roman" w:cs="Times New Roman"/>
          <w:sz w:val="24"/>
        </w:rPr>
        <w:tab/>
        <w:t>Switzerland ratified the Kyoto Protocol on July 9, 2003. It committed to a reduction of 8 percent of 1990 levels by 2012, which it met. Sw</w:t>
      </w:r>
      <w:r>
        <w:rPr>
          <w:rFonts w:ascii="Times New Roman" w:eastAsia="Times New Roman" w:hAnsi="Times New Roman" w:cs="Times New Roman"/>
          <w:sz w:val="24"/>
        </w:rPr>
        <w:t>itzerland’s high goal caused it to be ‘compliant’ as compared to ‘above compliant.’ This is very different from Russia, which had a large allowance for emissions that it could easily meet. Switzerland shares the same reduction goal as the EU, and both enti</w:t>
      </w:r>
      <w:r>
        <w:rPr>
          <w:rFonts w:ascii="Times New Roman" w:eastAsia="Times New Roman" w:hAnsi="Times New Roman" w:cs="Times New Roman"/>
          <w:sz w:val="24"/>
        </w:rPr>
        <w:t>ties are considered to be leaders in environmental protection policy. Switzerland signed up for a second commitment period at the 18th COP in Doha, Qatar and pledged to reduce GHG emissions by 50 percent of 1990 levels by 2030 (“Switzerland,” Climate Actio</w:t>
      </w:r>
      <w:r>
        <w:rPr>
          <w:rFonts w:ascii="Times New Roman" w:eastAsia="Times New Roman" w:hAnsi="Times New Roman" w:cs="Times New Roman"/>
          <w:sz w:val="24"/>
        </w:rPr>
        <w:t xml:space="preserve">n Tracker website). It was also the first country to submit its Intended Nationally Determined Contributions (INDC) plan to the UNFCCC. Thirty percent of this is to come from domestic reductions, and the other twenty is to come from projects that decrease </w:t>
      </w:r>
      <w:r>
        <w:rPr>
          <w:rFonts w:ascii="Times New Roman" w:eastAsia="Times New Roman" w:hAnsi="Times New Roman" w:cs="Times New Roman"/>
          <w:sz w:val="24"/>
        </w:rPr>
        <w:t>emission abroad (“Switzerland,” Climate Action Tracker website). Swiss Director for the Federal Office of the Environment, Bruno Oberle, said, “The target for 2013-2020 is more ambitious and demands the commitment of all the sectors involved” in April 2014</w:t>
      </w:r>
      <w:r>
        <w:rPr>
          <w:rFonts w:ascii="Times New Roman" w:eastAsia="Times New Roman" w:hAnsi="Times New Roman" w:cs="Times New Roman"/>
          <w:sz w:val="24"/>
        </w:rPr>
        <w:t xml:space="preserve"> (“Kyoto Protocol,” Switzerland Federal Authorities website). However, little was found on the domestic politics of why Switzerland is merely compliant, and does not exceed compliance like many EU member states. However, there is not a lot of information o</w:t>
      </w:r>
      <w:r>
        <w:rPr>
          <w:rFonts w:ascii="Times New Roman" w:eastAsia="Times New Roman" w:hAnsi="Times New Roman" w:cs="Times New Roman"/>
          <w:sz w:val="24"/>
        </w:rPr>
        <w:t xml:space="preserve">n why Switzerland is compliant when its reputation is for being a </w:t>
      </w:r>
      <w:r>
        <w:rPr>
          <w:rFonts w:ascii="Times New Roman" w:eastAsia="Times New Roman" w:hAnsi="Times New Roman" w:cs="Times New Roman"/>
          <w:sz w:val="24"/>
        </w:rPr>
        <w:lastRenderedPageBreak/>
        <w:t>leader in environmental policy. This could benefit from future research that looks more closely at states deemed successful or leaders in climate change policy to see how closely the reputat</w:t>
      </w:r>
      <w:r>
        <w:rPr>
          <w:rFonts w:ascii="Times New Roman" w:eastAsia="Times New Roman" w:hAnsi="Times New Roman" w:cs="Times New Roman"/>
          <w:sz w:val="24"/>
        </w:rPr>
        <w:t xml:space="preserve">ion follows practice. </w:t>
      </w:r>
    </w:p>
    <w:p w:rsidR="00FE0965" w:rsidRDefault="00FE0965">
      <w:pPr>
        <w:spacing w:line="480" w:lineRule="auto"/>
      </w:pPr>
      <w:bookmarkStart w:id="11" w:name="h.gjdgxs" w:colFirst="0" w:colLast="0"/>
      <w:bookmarkEnd w:id="11"/>
    </w:p>
    <w:p w:rsidR="00FE0965" w:rsidRDefault="00A0125B">
      <w:pPr>
        <w:spacing w:line="480" w:lineRule="auto"/>
        <w:jc w:val="center"/>
      </w:pPr>
      <w:r>
        <w:rPr>
          <w:rFonts w:ascii="Times New Roman" w:eastAsia="Times New Roman" w:hAnsi="Times New Roman" w:cs="Times New Roman"/>
          <w:b/>
          <w:sz w:val="24"/>
        </w:rPr>
        <w:t>CONCLUSION</w:t>
      </w:r>
    </w:p>
    <w:p w:rsidR="00FE0965" w:rsidRDefault="00A0125B">
      <w:pPr>
        <w:spacing w:line="480" w:lineRule="auto"/>
      </w:pPr>
      <w:r>
        <w:rPr>
          <w:rFonts w:ascii="Times New Roman" w:eastAsia="Times New Roman" w:hAnsi="Times New Roman" w:cs="Times New Roman"/>
          <w:b/>
          <w:sz w:val="24"/>
        </w:rPr>
        <w:tab/>
      </w:r>
      <w:r>
        <w:rPr>
          <w:rFonts w:ascii="Times New Roman" w:eastAsia="Times New Roman" w:hAnsi="Times New Roman" w:cs="Times New Roman"/>
          <w:sz w:val="24"/>
        </w:rPr>
        <w:t xml:space="preserve">What explains the puzzle of why some states ratify and comply with international environmental treaties despite the economic cost, potential for free-riding and lack of effective punishment mechanisms? We know that this </w:t>
      </w:r>
      <w:r>
        <w:rPr>
          <w:rFonts w:ascii="Times New Roman" w:eastAsia="Times New Roman" w:hAnsi="Times New Roman" w:cs="Times New Roman"/>
          <w:sz w:val="24"/>
        </w:rPr>
        <w:t>variation is largely not caused by misinformation, since the IPCC provides detailed, current information that is widely disseminated. My findings support two of the four hypotheses regarding the effects of international institutions in environmental policy</w:t>
      </w:r>
      <w:r>
        <w:rPr>
          <w:rFonts w:ascii="Times New Roman" w:eastAsia="Times New Roman" w:hAnsi="Times New Roman" w:cs="Times New Roman"/>
          <w:sz w:val="24"/>
        </w:rPr>
        <w:t>. Regime type (H1) is not as influential in treaty ratification as GDP per capita (H4). This supports liberal institutional theory that focuses on functionalist aspects of compliance. States comply when they have the resources to do so. I also found that m</w:t>
      </w:r>
      <w:r>
        <w:rPr>
          <w:rFonts w:ascii="Times New Roman" w:eastAsia="Times New Roman" w:hAnsi="Times New Roman" w:cs="Times New Roman"/>
          <w:sz w:val="24"/>
        </w:rPr>
        <w:t xml:space="preserve">arket-based incentives (H2) do not necessarily make compliance easier for states--some states are still not compliant even with these mechanisms, while others are compliant without them. Finally, the brief case study of the United States revealed that, at </w:t>
      </w:r>
      <w:r>
        <w:rPr>
          <w:rFonts w:ascii="Times New Roman" w:eastAsia="Times New Roman" w:hAnsi="Times New Roman" w:cs="Times New Roman"/>
          <w:sz w:val="24"/>
        </w:rPr>
        <w:t>least  for this country, the disproportionate requirements between Annex I and non-Annex I countries (H3) does affect states’ decision to ratify the protocol but norms have greater influence in compliance.  Even though this is only one case, it is an impor</w:t>
      </w:r>
      <w:r>
        <w:rPr>
          <w:rFonts w:ascii="Times New Roman" w:eastAsia="Times New Roman" w:hAnsi="Times New Roman" w:cs="Times New Roman"/>
          <w:sz w:val="24"/>
        </w:rPr>
        <w:t xml:space="preserve">tant outlier since the US is a great power, has a large economy, and can have a major impact on global emissions. </w:t>
      </w:r>
    </w:p>
    <w:p w:rsidR="00FE0965" w:rsidRDefault="00A0125B">
      <w:pPr>
        <w:spacing w:line="480" w:lineRule="auto"/>
      </w:pPr>
      <w:r>
        <w:rPr>
          <w:rFonts w:ascii="Times New Roman" w:eastAsia="Times New Roman" w:hAnsi="Times New Roman" w:cs="Times New Roman"/>
          <w:sz w:val="24"/>
        </w:rPr>
        <w:lastRenderedPageBreak/>
        <w:tab/>
        <w:t>Policy prescriptions from these findings would focus on funding mechanisms from international institutions to aid states in developing capab</w:t>
      </w:r>
      <w:r>
        <w:rPr>
          <w:rFonts w:ascii="Times New Roman" w:eastAsia="Times New Roman" w:hAnsi="Times New Roman" w:cs="Times New Roman"/>
          <w:sz w:val="24"/>
        </w:rPr>
        <w:t>ilities for compliance. The UNFCCC has the Clean Development Mechanism that transfers money from developed to less-developed states for clean energy projects. Also, one would note how negotiations stalled at Copenhagen over the unequal distribution between</w:t>
      </w:r>
      <w:r>
        <w:rPr>
          <w:rFonts w:ascii="Times New Roman" w:eastAsia="Times New Roman" w:hAnsi="Times New Roman" w:cs="Times New Roman"/>
          <w:sz w:val="24"/>
        </w:rPr>
        <w:t xml:space="preserve"> Annex I and non-Annex I states and attempt to reconcile differences between these two groups. This supports Constructivist theory that advocates an understanding of norms and how actor identities affect their positions when they come to the bargaining tab</w:t>
      </w:r>
      <w:r>
        <w:rPr>
          <w:rFonts w:ascii="Times New Roman" w:eastAsia="Times New Roman" w:hAnsi="Times New Roman" w:cs="Times New Roman"/>
          <w:sz w:val="24"/>
        </w:rPr>
        <w:t xml:space="preserve">le at the annual COPs. </w:t>
      </w:r>
    </w:p>
    <w:p w:rsidR="00FE0965" w:rsidRDefault="00A0125B">
      <w:pPr>
        <w:spacing w:line="480" w:lineRule="auto"/>
      </w:pPr>
      <w:r>
        <w:rPr>
          <w:rFonts w:ascii="Times New Roman" w:eastAsia="Times New Roman" w:hAnsi="Times New Roman" w:cs="Times New Roman"/>
          <w:b/>
          <w:sz w:val="24"/>
        </w:rPr>
        <w:tab/>
      </w:r>
      <w:r>
        <w:rPr>
          <w:rFonts w:ascii="Times New Roman" w:eastAsia="Times New Roman" w:hAnsi="Times New Roman" w:cs="Times New Roman"/>
          <w:sz w:val="24"/>
        </w:rPr>
        <w:t>Future research will incorporate data on permit trading systems, as they become more universally used and information is collected more consistently than at present. The level of development in a state makes it more likely to compl</w:t>
      </w:r>
      <w:r>
        <w:rPr>
          <w:rFonts w:ascii="Times New Roman" w:eastAsia="Times New Roman" w:hAnsi="Times New Roman" w:cs="Times New Roman"/>
          <w:sz w:val="24"/>
        </w:rPr>
        <w:t xml:space="preserve">y with LULUCF standards. This supports the predictions made by neo-Liberal theory, that posit compliant outcomes have largely to do with </w:t>
      </w:r>
    </w:p>
    <w:p w:rsidR="00FE0965" w:rsidRDefault="00A0125B">
      <w:pPr>
        <w:spacing w:after="0" w:line="480" w:lineRule="auto"/>
        <w:jc w:val="center"/>
      </w:pPr>
      <w:r>
        <w:rPr>
          <w:rFonts w:ascii="Times New Roman" w:eastAsia="Times New Roman" w:hAnsi="Times New Roman" w:cs="Times New Roman"/>
          <w:b/>
          <w:sz w:val="24"/>
        </w:rPr>
        <w:t>APPENDIX</w:t>
      </w:r>
    </w:p>
    <w:p w:rsidR="00FE0965" w:rsidRDefault="00A0125B">
      <w:pPr>
        <w:numPr>
          <w:ilvl w:val="0"/>
          <w:numId w:val="2"/>
        </w:numPr>
        <w:spacing w:after="0" w:line="480" w:lineRule="auto"/>
        <w:ind w:hanging="360"/>
        <w:contextualSpacing/>
        <w:rPr>
          <w:rFonts w:ascii="Times New Roman" w:eastAsia="Times New Roman" w:hAnsi="Times New Roman" w:cs="Times New Roman"/>
          <w:sz w:val="24"/>
        </w:rPr>
      </w:pPr>
      <w:r>
        <w:rPr>
          <w:rFonts w:ascii="Times New Roman" w:eastAsia="Times New Roman" w:hAnsi="Times New Roman" w:cs="Times New Roman"/>
          <w:sz w:val="24"/>
        </w:rPr>
        <w:t>List of annual conference of the parties</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b/>
                <w:sz w:val="24"/>
              </w:rPr>
              <w:t>Conference Name</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b/>
                <w:sz w:val="24"/>
              </w:rPr>
              <w:t>Date</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b/>
                <w:sz w:val="24"/>
              </w:rPr>
              <w:t>Location</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21</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November 2015</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Paris</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20</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December 2014</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Lima, Peru</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19</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November 2013</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Warsaw, Poland</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18</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November 2012</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Doha, Qatar</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17</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November 2011</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Durban, South Africa</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16</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November 2010</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Cancun, Mexico</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lastRenderedPageBreak/>
              <w:t>COP 15</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December 2009</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Copenhagen, Denmark*</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14</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December 2008</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Poznan, Poland</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13</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December 2007</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Bali, Indonesia</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12</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November 2006</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Nairobi, Kenya</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11</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November 2005</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Montreal, Canada</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10</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December 2004</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Buenos Aires, Argentina</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9</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December 2003</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Milan, Italy</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8</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October 2002</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New Delhi, India</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7</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October 2001</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Marrakesh, Morocco</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6</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November 2000</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The Hague, Netherlands</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5</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October 1999</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Bonn, Germany</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4</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November 1998</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Buenos Aires, Argentina</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3</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December 1997</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Kyoto, Japan</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COP 2</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July 1996</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Geneva, Switzerland</w:t>
            </w:r>
          </w:p>
        </w:tc>
      </w:tr>
      <w:tr w:rsidR="00FE0965">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Inaugural COP</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March 1995</w:t>
            </w:r>
          </w:p>
        </w:tc>
        <w:tc>
          <w:tcPr>
            <w:tcW w:w="3120" w:type="dxa"/>
            <w:tcMar>
              <w:top w:w="100" w:type="dxa"/>
              <w:left w:w="100" w:type="dxa"/>
              <w:bottom w:w="100" w:type="dxa"/>
              <w:right w:w="100" w:type="dxa"/>
            </w:tcMar>
          </w:tcPr>
          <w:p w:rsidR="00FE0965" w:rsidRDefault="00A0125B">
            <w:pPr>
              <w:widowControl w:val="0"/>
              <w:spacing w:after="0" w:line="240" w:lineRule="auto"/>
            </w:pPr>
            <w:r>
              <w:rPr>
                <w:rFonts w:ascii="Times New Roman" w:eastAsia="Times New Roman" w:hAnsi="Times New Roman" w:cs="Times New Roman"/>
                <w:sz w:val="24"/>
              </w:rPr>
              <w:t>Berlin, Germany</w:t>
            </w:r>
          </w:p>
        </w:tc>
      </w:tr>
    </w:tbl>
    <w:p w:rsidR="00FE0965" w:rsidRDefault="00A0125B">
      <w:pPr>
        <w:spacing w:after="0" w:line="480" w:lineRule="auto"/>
      </w:pPr>
      <w:r>
        <w:rPr>
          <w:rFonts w:ascii="Times New Roman" w:eastAsia="Times New Roman" w:hAnsi="Times New Roman" w:cs="Times New Roman"/>
          <w:sz w:val="24"/>
        </w:rPr>
        <w:t>*First commitment period ended; next period negotiated but not agreed upon.</w:t>
      </w:r>
    </w:p>
    <w:p w:rsidR="00FE0965" w:rsidRDefault="00FE0965">
      <w:pPr>
        <w:spacing w:after="0" w:line="480" w:lineRule="auto"/>
      </w:pPr>
    </w:p>
    <w:p w:rsidR="00FE0965" w:rsidRDefault="00A0125B">
      <w:pPr>
        <w:spacing w:after="0" w:line="240" w:lineRule="auto"/>
        <w:jc w:val="center"/>
      </w:pPr>
      <w:r>
        <w:rPr>
          <w:rFonts w:ascii="Times New Roman" w:eastAsia="Times New Roman" w:hAnsi="Times New Roman" w:cs="Times New Roman"/>
          <w:sz w:val="24"/>
          <w:u w:val="single"/>
        </w:rPr>
        <w:t>References</w:t>
      </w:r>
    </w:p>
    <w:p w:rsidR="00FE0965" w:rsidRDefault="00FE0965">
      <w:pPr>
        <w:spacing w:after="0" w:line="240" w:lineRule="auto"/>
      </w:pP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Abbott, Kenneth W., and Duncan Snidal. 2000. "Hard and Soft Law in International Governance." </w:t>
      </w:r>
      <w:r>
        <w:rPr>
          <w:rFonts w:ascii="Times New Roman" w:eastAsia="Times New Roman" w:hAnsi="Times New Roman" w:cs="Times New Roman"/>
          <w:i/>
          <w:sz w:val="24"/>
        </w:rPr>
        <w:t>International Organization</w:t>
      </w:r>
      <w:r>
        <w:rPr>
          <w:rFonts w:ascii="Times New Roman" w:eastAsia="Times New Roman" w:hAnsi="Times New Roman" w:cs="Times New Roman"/>
          <w:sz w:val="24"/>
        </w:rPr>
        <w:t xml:space="preserve"> 54(3): 421-456.</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Acemoglu, Daron and James Robinson. 2006. </w:t>
      </w:r>
      <w:r>
        <w:rPr>
          <w:rFonts w:ascii="Times New Roman" w:eastAsia="Times New Roman" w:hAnsi="Times New Roman" w:cs="Times New Roman"/>
          <w:i/>
          <w:sz w:val="24"/>
        </w:rPr>
        <w:t>Economic Origins of Dictatorship and Democracy.</w:t>
      </w:r>
      <w:r>
        <w:rPr>
          <w:rFonts w:ascii="Times New Roman" w:eastAsia="Times New Roman" w:hAnsi="Times New Roman" w:cs="Times New Roman"/>
          <w:sz w:val="24"/>
        </w:rPr>
        <w:t xml:space="preserve"> New York, NY: Cambridge University Press.</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Andersen, Ole, and Jon Pierre. 2010. "Exploring the Strategic Region: Rationality, Context, and Institutional Collective Ac</w:t>
      </w:r>
      <w:r>
        <w:rPr>
          <w:rFonts w:ascii="Times New Roman" w:eastAsia="Times New Roman" w:hAnsi="Times New Roman" w:cs="Times New Roman"/>
          <w:sz w:val="24"/>
        </w:rPr>
        <w:t xml:space="preserve">tion". </w:t>
      </w:r>
      <w:r>
        <w:rPr>
          <w:rFonts w:ascii="Times New Roman" w:eastAsia="Times New Roman" w:hAnsi="Times New Roman" w:cs="Times New Roman"/>
          <w:i/>
          <w:sz w:val="24"/>
        </w:rPr>
        <w:t xml:space="preserve">Urban Affairs Review. </w:t>
      </w:r>
      <w:r>
        <w:rPr>
          <w:rFonts w:ascii="Times New Roman" w:eastAsia="Times New Roman" w:hAnsi="Times New Roman" w:cs="Times New Roman"/>
          <w:sz w:val="24"/>
        </w:rPr>
        <w:t>46 (2): 218-240.</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Axelrod, Robert M. 1984. </w:t>
      </w:r>
      <w:r>
        <w:rPr>
          <w:rFonts w:ascii="Times New Roman" w:eastAsia="Times New Roman" w:hAnsi="Times New Roman" w:cs="Times New Roman"/>
          <w:i/>
          <w:sz w:val="24"/>
        </w:rPr>
        <w:t>The evolution of cooperation</w:t>
      </w:r>
      <w:r>
        <w:rPr>
          <w:rFonts w:ascii="Times New Roman" w:eastAsia="Times New Roman" w:hAnsi="Times New Roman" w:cs="Times New Roman"/>
          <w:sz w:val="24"/>
        </w:rPr>
        <w:t>. New York: Basic Books.</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lastRenderedPageBreak/>
        <w:t xml:space="preserve">Barrett, Scott. 2008. “Climate Treaties and the Imperative of Enforcement.” </w:t>
      </w:r>
      <w:r>
        <w:rPr>
          <w:rFonts w:ascii="Times New Roman" w:eastAsia="Times New Roman" w:hAnsi="Times New Roman" w:cs="Times New Roman"/>
          <w:i/>
          <w:sz w:val="24"/>
        </w:rPr>
        <w:t>Oxford Review of Economic Policy.</w:t>
      </w:r>
      <w:r>
        <w:rPr>
          <w:rFonts w:ascii="Times New Roman" w:eastAsia="Times New Roman" w:hAnsi="Times New Roman" w:cs="Times New Roman"/>
          <w:sz w:val="24"/>
        </w:rPr>
        <w:t xml:space="preserve"> 24(2): 239-258</w:t>
      </w:r>
      <w:r>
        <w:rPr>
          <w:rFonts w:ascii="Times New Roman" w:eastAsia="Times New Roman" w:hAnsi="Times New Roman" w:cs="Times New Roman"/>
          <w:sz w:val="24"/>
          <w:u w:val="single"/>
        </w:rPr>
        <w:t>.</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Bar</w:t>
      </w:r>
      <w:r>
        <w:rPr>
          <w:rFonts w:ascii="Times New Roman" w:eastAsia="Times New Roman" w:hAnsi="Times New Roman" w:cs="Times New Roman"/>
          <w:sz w:val="24"/>
        </w:rPr>
        <w:t xml:space="preserve">rett, Scott, and Robert Stavins. 2003. "Increasing participation and compliance in international climate change agreements." </w:t>
      </w:r>
      <w:r>
        <w:rPr>
          <w:rFonts w:ascii="Times New Roman" w:eastAsia="Times New Roman" w:hAnsi="Times New Roman" w:cs="Times New Roman"/>
          <w:i/>
          <w:sz w:val="24"/>
        </w:rPr>
        <w:t>International Environmental Agreements</w:t>
      </w:r>
      <w:r>
        <w:rPr>
          <w:rFonts w:ascii="Times New Roman" w:eastAsia="Times New Roman" w:hAnsi="Times New Roman" w:cs="Times New Roman"/>
          <w:sz w:val="24"/>
        </w:rPr>
        <w:t xml:space="preserve"> 3(4): 349-376.</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Chayes, Abram, Antonia Handler Chayes, and Ronald B. Mitchell. 1998. "Managi</w:t>
      </w:r>
      <w:r>
        <w:rPr>
          <w:rFonts w:ascii="Times New Roman" w:eastAsia="Times New Roman" w:hAnsi="Times New Roman" w:cs="Times New Roman"/>
          <w:sz w:val="24"/>
        </w:rPr>
        <w:t xml:space="preserve">ng compliance: a comparative perspective." </w:t>
      </w:r>
      <w:r>
        <w:rPr>
          <w:rFonts w:ascii="Times New Roman" w:eastAsia="Times New Roman" w:hAnsi="Times New Roman" w:cs="Times New Roman"/>
          <w:i/>
          <w:sz w:val="24"/>
        </w:rPr>
        <w:t>Engaging countries: Strengthening compliance with international environmental accords</w:t>
      </w:r>
      <w:r>
        <w:rPr>
          <w:rFonts w:ascii="Times New Roman" w:eastAsia="Times New Roman" w:hAnsi="Times New Roman" w:cs="Times New Roman"/>
          <w:sz w:val="24"/>
        </w:rPr>
        <w:t>. 39-62.</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Climate Action Tracker. March 29, 2015. “Switzerland.” Accessed: </w:t>
      </w:r>
      <w:hyperlink r:id="rId8">
        <w:r>
          <w:rPr>
            <w:rFonts w:ascii="Times New Roman" w:eastAsia="Times New Roman" w:hAnsi="Times New Roman" w:cs="Times New Roman"/>
            <w:color w:val="1155CC"/>
            <w:sz w:val="24"/>
            <w:u w:val="single"/>
          </w:rPr>
          <w:t>http://climateactiontracker.org/countries/developed/switzerland.html</w:t>
        </w:r>
      </w:hyperlink>
      <w:r>
        <w:rPr>
          <w:rFonts w:ascii="Times New Roman" w:eastAsia="Times New Roman" w:hAnsi="Times New Roman" w:cs="Times New Roman"/>
          <w:sz w:val="24"/>
        </w:rPr>
        <w:t xml:space="preserve">. </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Cole, Wade. 2009. “Hard and Soft Commitments to Human Rights Treaties, 1966-2000.” </w:t>
      </w:r>
      <w:r>
        <w:rPr>
          <w:rFonts w:ascii="Times New Roman" w:eastAsia="Times New Roman" w:hAnsi="Times New Roman" w:cs="Times New Roman"/>
          <w:i/>
          <w:sz w:val="24"/>
        </w:rPr>
        <w:t>Sociological Forum.</w:t>
      </w:r>
      <w:r>
        <w:rPr>
          <w:rFonts w:ascii="Times New Roman" w:eastAsia="Times New Roman" w:hAnsi="Times New Roman" w:cs="Times New Roman"/>
          <w:sz w:val="24"/>
        </w:rPr>
        <w:t xml:space="preserve"> 24(3): 563-588.</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Dahl, Robert A. 1971. </w:t>
      </w:r>
      <w:r>
        <w:rPr>
          <w:rFonts w:ascii="Times New Roman" w:eastAsia="Times New Roman" w:hAnsi="Times New Roman" w:cs="Times New Roman"/>
          <w:i/>
          <w:sz w:val="24"/>
        </w:rPr>
        <w:t>Polyarc</w:t>
      </w:r>
      <w:r>
        <w:rPr>
          <w:rFonts w:ascii="Times New Roman" w:eastAsia="Times New Roman" w:hAnsi="Times New Roman" w:cs="Times New Roman"/>
          <w:i/>
          <w:sz w:val="24"/>
        </w:rPr>
        <w:t>hy; participation and opposition</w:t>
      </w:r>
      <w:r>
        <w:rPr>
          <w:rFonts w:ascii="Times New Roman" w:eastAsia="Times New Roman" w:hAnsi="Times New Roman" w:cs="Times New Roman"/>
          <w:sz w:val="24"/>
        </w:rPr>
        <w:t xml:space="preserve">. New Haven: Yale University Press. </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Driesen, David. 2006. "Environmental Protection, Free Trade, and Democracy". </w:t>
      </w:r>
      <w:r>
        <w:rPr>
          <w:rFonts w:ascii="Times New Roman" w:eastAsia="Times New Roman" w:hAnsi="Times New Roman" w:cs="Times New Roman"/>
          <w:i/>
          <w:sz w:val="24"/>
        </w:rPr>
        <w:t xml:space="preserve">The Annals of the American Academy of Political and Social Science. </w:t>
      </w:r>
      <w:r>
        <w:rPr>
          <w:rFonts w:ascii="Times New Roman" w:eastAsia="Times New Roman" w:hAnsi="Times New Roman" w:cs="Times New Roman"/>
          <w:sz w:val="24"/>
        </w:rPr>
        <w:t xml:space="preserve">603 (1): 252-261. </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Finnemore, Martha, an</w:t>
      </w:r>
      <w:r>
        <w:rPr>
          <w:rFonts w:ascii="Times New Roman" w:eastAsia="Times New Roman" w:hAnsi="Times New Roman" w:cs="Times New Roman"/>
          <w:sz w:val="24"/>
        </w:rPr>
        <w:t xml:space="preserve">d Kathryn Sikkink. 1998. "International Norm Dynamics and Political Change". </w:t>
      </w:r>
      <w:r>
        <w:rPr>
          <w:rFonts w:ascii="Times New Roman" w:eastAsia="Times New Roman" w:hAnsi="Times New Roman" w:cs="Times New Roman"/>
          <w:i/>
          <w:sz w:val="24"/>
        </w:rPr>
        <w:t xml:space="preserve">International Organization. </w:t>
      </w:r>
      <w:r>
        <w:rPr>
          <w:rFonts w:ascii="Times New Roman" w:eastAsia="Times New Roman" w:hAnsi="Times New Roman" w:cs="Times New Roman"/>
          <w:sz w:val="24"/>
        </w:rPr>
        <w:t>52 (4): 887-917.</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Frank, David John. 1999. "The Social Bases of Environmental Treaty Ratification, 1900–1990." </w:t>
      </w:r>
      <w:r>
        <w:rPr>
          <w:rFonts w:ascii="Times New Roman" w:eastAsia="Times New Roman" w:hAnsi="Times New Roman" w:cs="Times New Roman"/>
          <w:i/>
          <w:sz w:val="24"/>
        </w:rPr>
        <w:t>Sociological Inquiry</w:t>
      </w:r>
      <w:r>
        <w:rPr>
          <w:rFonts w:ascii="Times New Roman" w:eastAsia="Times New Roman" w:hAnsi="Times New Roman" w:cs="Times New Roman"/>
          <w:sz w:val="24"/>
        </w:rPr>
        <w:t xml:space="preserve"> 69(4): 523-550.</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Ha</w:t>
      </w:r>
      <w:r>
        <w:rPr>
          <w:rFonts w:ascii="Times New Roman" w:eastAsia="Times New Roman" w:hAnsi="Times New Roman" w:cs="Times New Roman"/>
          <w:sz w:val="24"/>
        </w:rPr>
        <w:t xml:space="preserve">as, Ernst B. 1964. </w:t>
      </w:r>
      <w:r>
        <w:rPr>
          <w:rFonts w:ascii="Times New Roman" w:eastAsia="Times New Roman" w:hAnsi="Times New Roman" w:cs="Times New Roman"/>
          <w:i/>
          <w:sz w:val="24"/>
        </w:rPr>
        <w:t>Beyond the nation-state: functionalism and international organization</w:t>
      </w:r>
      <w:r>
        <w:rPr>
          <w:rFonts w:ascii="Times New Roman" w:eastAsia="Times New Roman" w:hAnsi="Times New Roman" w:cs="Times New Roman"/>
          <w:sz w:val="24"/>
        </w:rPr>
        <w:t>. Stanford, Calif: Stanford University Press.</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Haita, Corina. 2012. “The State of Compliance in the Kyoto Protocol.” </w:t>
      </w:r>
      <w:r>
        <w:rPr>
          <w:rFonts w:ascii="Times New Roman" w:eastAsia="Times New Roman" w:hAnsi="Times New Roman" w:cs="Times New Roman"/>
          <w:i/>
          <w:sz w:val="24"/>
        </w:rPr>
        <w:t>International Center for Climate Governance.</w:t>
      </w:r>
      <w:r>
        <w:rPr>
          <w:rFonts w:ascii="Times New Roman" w:eastAsia="Times New Roman" w:hAnsi="Times New Roman" w:cs="Times New Roman"/>
          <w:sz w:val="24"/>
        </w:rPr>
        <w:t xml:space="preserve"> 1-6. Accessed: </w:t>
      </w:r>
      <w:hyperlink r:id="rId9">
        <w:r>
          <w:rPr>
            <w:rFonts w:ascii="Times New Roman" w:eastAsia="Times New Roman" w:hAnsi="Times New Roman" w:cs="Times New Roman"/>
            <w:color w:val="0563C1"/>
            <w:sz w:val="24"/>
            <w:u w:val="single"/>
          </w:rPr>
          <w:t>http://www.iccgov.org/FilePagineStatiche/Files/Publications/Reflections/12_Reflection_December_2012.pdf</w:t>
        </w:r>
      </w:hyperlink>
      <w:hyperlink r:id="rId10"/>
    </w:p>
    <w:p w:rsidR="00FE0965" w:rsidRDefault="00A0125B">
      <w:pPr>
        <w:spacing w:after="0" w:line="240" w:lineRule="auto"/>
      </w:pPr>
      <w:hyperlink r:id="rId11"/>
    </w:p>
    <w:p w:rsidR="00FE0965" w:rsidRDefault="00A0125B">
      <w:pPr>
        <w:spacing w:after="0" w:line="240" w:lineRule="auto"/>
      </w:pPr>
      <w:r>
        <w:rPr>
          <w:rFonts w:ascii="Times New Roman" w:eastAsia="Times New Roman" w:hAnsi="Times New Roman" w:cs="Times New Roman"/>
          <w:sz w:val="24"/>
        </w:rPr>
        <w:t xml:space="preserve">Hathaway, Oona A. 2007. "Why do countries commit to human rights treaties?" </w:t>
      </w:r>
      <w:r>
        <w:rPr>
          <w:rFonts w:ascii="Times New Roman" w:eastAsia="Times New Roman" w:hAnsi="Times New Roman" w:cs="Times New Roman"/>
          <w:i/>
          <w:sz w:val="24"/>
        </w:rPr>
        <w:t>Journal of Conflict Resolution</w:t>
      </w:r>
      <w:r>
        <w:rPr>
          <w:rFonts w:ascii="Times New Roman" w:eastAsia="Times New Roman" w:hAnsi="Times New Roman" w:cs="Times New Roman"/>
          <w:sz w:val="24"/>
        </w:rPr>
        <w:t xml:space="preserve"> 51(4): 588-621.</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Hardin, Garrett. 1998. “Extensions of ‘The Tragedy of the Commons.’” </w:t>
      </w:r>
      <w:r>
        <w:rPr>
          <w:rFonts w:ascii="Times New Roman" w:eastAsia="Times New Roman" w:hAnsi="Times New Roman" w:cs="Times New Roman"/>
          <w:i/>
          <w:sz w:val="24"/>
        </w:rPr>
        <w:t xml:space="preserve">Science. </w:t>
      </w:r>
      <w:r>
        <w:rPr>
          <w:rFonts w:ascii="Times New Roman" w:eastAsia="Times New Roman" w:hAnsi="Times New Roman" w:cs="Times New Roman"/>
          <w:sz w:val="24"/>
        </w:rPr>
        <w:t>280(5364): 682-683.</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Hardin, Garrett. 1968. “The Trage</w:t>
      </w:r>
      <w:r>
        <w:rPr>
          <w:rFonts w:ascii="Times New Roman" w:eastAsia="Times New Roman" w:hAnsi="Times New Roman" w:cs="Times New Roman"/>
          <w:sz w:val="24"/>
        </w:rPr>
        <w:t xml:space="preserve">dy of the Commons.” </w:t>
      </w:r>
      <w:r>
        <w:rPr>
          <w:rFonts w:ascii="Times New Roman" w:eastAsia="Times New Roman" w:hAnsi="Times New Roman" w:cs="Times New Roman"/>
          <w:i/>
          <w:sz w:val="24"/>
        </w:rPr>
        <w:t>Science.</w:t>
      </w:r>
      <w:r>
        <w:rPr>
          <w:rFonts w:ascii="Times New Roman" w:eastAsia="Times New Roman" w:hAnsi="Times New Roman" w:cs="Times New Roman"/>
          <w:sz w:val="24"/>
        </w:rPr>
        <w:t xml:space="preserve"> 162(3859): 1243-48.</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lastRenderedPageBreak/>
        <w:t xml:space="preserve">Harrison, Kathryn. 2007. "The Road not Taken: Climate Change Policy in Canada and the United States". </w:t>
      </w:r>
      <w:r>
        <w:rPr>
          <w:rFonts w:ascii="Times New Roman" w:eastAsia="Times New Roman" w:hAnsi="Times New Roman" w:cs="Times New Roman"/>
          <w:i/>
          <w:sz w:val="24"/>
        </w:rPr>
        <w:t xml:space="preserve">Global Environmental Politics. </w:t>
      </w:r>
      <w:r>
        <w:rPr>
          <w:rFonts w:ascii="Times New Roman" w:eastAsia="Times New Roman" w:hAnsi="Times New Roman" w:cs="Times New Roman"/>
          <w:sz w:val="24"/>
        </w:rPr>
        <w:t xml:space="preserve">7 (4): 92-117. </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Hasnas, John. 2009. “Two Theories of Environmental Regul</w:t>
      </w:r>
      <w:r>
        <w:rPr>
          <w:rFonts w:ascii="Times New Roman" w:eastAsia="Times New Roman" w:hAnsi="Times New Roman" w:cs="Times New Roman"/>
          <w:sz w:val="24"/>
        </w:rPr>
        <w:t xml:space="preserve">ation.” </w:t>
      </w:r>
      <w:r>
        <w:rPr>
          <w:rFonts w:ascii="Times New Roman" w:eastAsia="Times New Roman" w:hAnsi="Times New Roman" w:cs="Times New Roman"/>
          <w:i/>
          <w:sz w:val="24"/>
        </w:rPr>
        <w:t>Social Philosophy and Policy Foundation.</w:t>
      </w:r>
      <w:r>
        <w:rPr>
          <w:rFonts w:ascii="Times New Roman" w:eastAsia="Times New Roman" w:hAnsi="Times New Roman" w:cs="Times New Roman"/>
          <w:sz w:val="24"/>
        </w:rPr>
        <w:t xml:space="preserve"> 95-129.</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Heikkila, Tanya, and Andrea K. Gerlak. 2005. "The Formation of Large-scale Collaborative Resource Management Institutions: Clarifying the Roles of Stakeholders, Science, and Institutions". </w:t>
      </w:r>
      <w:r>
        <w:rPr>
          <w:rFonts w:ascii="Times New Roman" w:eastAsia="Times New Roman" w:hAnsi="Times New Roman" w:cs="Times New Roman"/>
          <w:i/>
          <w:sz w:val="24"/>
        </w:rPr>
        <w:t>Policy St</w:t>
      </w:r>
      <w:r>
        <w:rPr>
          <w:rFonts w:ascii="Times New Roman" w:eastAsia="Times New Roman" w:hAnsi="Times New Roman" w:cs="Times New Roman"/>
          <w:i/>
          <w:sz w:val="24"/>
        </w:rPr>
        <w:t xml:space="preserve">udies Journal. </w:t>
      </w:r>
      <w:r>
        <w:rPr>
          <w:rFonts w:ascii="Times New Roman" w:eastAsia="Times New Roman" w:hAnsi="Times New Roman" w:cs="Times New Roman"/>
          <w:sz w:val="24"/>
        </w:rPr>
        <w:t>33 (4): 583-612.</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Heikkila, Tanya. 2004. “Institutional Boundaries and Common-Pool Resource Management: A Comparative Analysis of Water Management Programs in California.” </w:t>
      </w:r>
      <w:r>
        <w:rPr>
          <w:rFonts w:ascii="Times New Roman" w:eastAsia="Times New Roman" w:hAnsi="Times New Roman" w:cs="Times New Roman"/>
          <w:i/>
          <w:sz w:val="24"/>
        </w:rPr>
        <w:t>Journal of Policy Analysis and Management.</w:t>
      </w:r>
      <w:r>
        <w:rPr>
          <w:rFonts w:ascii="Times New Roman" w:eastAsia="Times New Roman" w:hAnsi="Times New Roman" w:cs="Times New Roman"/>
          <w:sz w:val="24"/>
        </w:rPr>
        <w:t xml:space="preserve"> 23(1): 97-117.</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Henry, Lau</w:t>
      </w:r>
      <w:r>
        <w:rPr>
          <w:rFonts w:ascii="Times New Roman" w:eastAsia="Times New Roman" w:hAnsi="Times New Roman" w:cs="Times New Roman"/>
          <w:sz w:val="24"/>
        </w:rPr>
        <w:t xml:space="preserve">ra A., and Lisa McIntosh Sundstrom. 2007. "Russia and the Kyoto Protocol: Seeking an Alignment of Interests and Image". </w:t>
      </w:r>
      <w:r>
        <w:rPr>
          <w:rFonts w:ascii="Times New Roman" w:eastAsia="Times New Roman" w:hAnsi="Times New Roman" w:cs="Times New Roman"/>
          <w:i/>
          <w:sz w:val="24"/>
        </w:rPr>
        <w:t xml:space="preserve">Global Environmental Politics. </w:t>
      </w:r>
      <w:r>
        <w:rPr>
          <w:rFonts w:ascii="Times New Roman" w:eastAsia="Times New Roman" w:hAnsi="Times New Roman" w:cs="Times New Roman"/>
          <w:sz w:val="24"/>
        </w:rPr>
        <w:t xml:space="preserve">7 (4): 47-69. </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Hovi, Jon, Tora Skodvin, and Steinar Andresen. 2003. "The Persistence of the Kyoto Protoc</w:t>
      </w:r>
      <w:r>
        <w:rPr>
          <w:rFonts w:ascii="Times New Roman" w:eastAsia="Times New Roman" w:hAnsi="Times New Roman" w:cs="Times New Roman"/>
          <w:sz w:val="24"/>
        </w:rPr>
        <w:t xml:space="preserve">ol: Why Other Annex I Countries Move on Without the United States". </w:t>
      </w:r>
      <w:r>
        <w:rPr>
          <w:rFonts w:ascii="Times New Roman" w:eastAsia="Times New Roman" w:hAnsi="Times New Roman" w:cs="Times New Roman"/>
          <w:i/>
          <w:sz w:val="24"/>
        </w:rPr>
        <w:t xml:space="preserve">Global Environmental Politics. </w:t>
      </w:r>
      <w:r>
        <w:rPr>
          <w:rFonts w:ascii="Times New Roman" w:eastAsia="Times New Roman" w:hAnsi="Times New Roman" w:cs="Times New Roman"/>
          <w:sz w:val="24"/>
        </w:rPr>
        <w:t xml:space="preserve">3 (4). </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Inglehart, Ronald, and Christian Welzel. 2005. </w:t>
      </w:r>
      <w:r>
        <w:rPr>
          <w:rFonts w:ascii="Times New Roman" w:eastAsia="Times New Roman" w:hAnsi="Times New Roman" w:cs="Times New Roman"/>
          <w:i/>
          <w:sz w:val="24"/>
        </w:rPr>
        <w:t>Modernization, cultural change, and democracy: the human development sequence</w:t>
      </w:r>
      <w:r>
        <w:rPr>
          <w:rFonts w:ascii="Times New Roman" w:eastAsia="Times New Roman" w:hAnsi="Times New Roman" w:cs="Times New Roman"/>
          <w:sz w:val="24"/>
        </w:rPr>
        <w:t>. Cambridge, UK: Cambrid</w:t>
      </w:r>
      <w:r>
        <w:rPr>
          <w:rFonts w:ascii="Times New Roman" w:eastAsia="Times New Roman" w:hAnsi="Times New Roman" w:cs="Times New Roman"/>
          <w:sz w:val="24"/>
        </w:rPr>
        <w:t xml:space="preserve">ge University Press. </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Kelemen, R., and David Vogel. 2010. "Trading Places: The Role of the United States and the European Union in International Environmental Politics". </w:t>
      </w:r>
      <w:r>
        <w:rPr>
          <w:rFonts w:ascii="Times New Roman" w:eastAsia="Times New Roman" w:hAnsi="Times New Roman" w:cs="Times New Roman"/>
          <w:i/>
          <w:sz w:val="24"/>
        </w:rPr>
        <w:t xml:space="preserve">Comparative Political Studies. </w:t>
      </w:r>
      <w:r>
        <w:rPr>
          <w:rFonts w:ascii="Times New Roman" w:eastAsia="Times New Roman" w:hAnsi="Times New Roman" w:cs="Times New Roman"/>
          <w:sz w:val="24"/>
        </w:rPr>
        <w:t xml:space="preserve">43 (4): 427-456. </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Keohane, Robert O. 1984. </w:t>
      </w:r>
      <w:r>
        <w:rPr>
          <w:rFonts w:ascii="Times New Roman" w:eastAsia="Times New Roman" w:hAnsi="Times New Roman" w:cs="Times New Roman"/>
          <w:i/>
          <w:sz w:val="24"/>
        </w:rPr>
        <w:t>After hege</w:t>
      </w:r>
      <w:r>
        <w:rPr>
          <w:rFonts w:ascii="Times New Roman" w:eastAsia="Times New Roman" w:hAnsi="Times New Roman" w:cs="Times New Roman"/>
          <w:i/>
          <w:sz w:val="24"/>
        </w:rPr>
        <w:t>mony: cooperation and discord in the world political economy</w:t>
      </w:r>
      <w:r>
        <w:rPr>
          <w:rFonts w:ascii="Times New Roman" w:eastAsia="Times New Roman" w:hAnsi="Times New Roman" w:cs="Times New Roman"/>
          <w:sz w:val="24"/>
        </w:rPr>
        <w:t>. Princeton, N.J.: Princeton University Press.</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Keohane, Robert O. and Lisa L. Marin. 1995. “The Promise of Institutionalist Theory.” </w:t>
      </w:r>
      <w:r>
        <w:rPr>
          <w:rFonts w:ascii="Times New Roman" w:eastAsia="Times New Roman" w:hAnsi="Times New Roman" w:cs="Times New Roman"/>
          <w:i/>
          <w:sz w:val="24"/>
        </w:rPr>
        <w:t>International Security.</w:t>
      </w:r>
      <w:r>
        <w:rPr>
          <w:rFonts w:ascii="Times New Roman" w:eastAsia="Times New Roman" w:hAnsi="Times New Roman" w:cs="Times New Roman"/>
          <w:sz w:val="24"/>
        </w:rPr>
        <w:t xml:space="preserve"> 20(1): 39-51. </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Krasner, Stephen D. 2009. </w:t>
      </w:r>
      <w:r>
        <w:rPr>
          <w:rFonts w:ascii="Times New Roman" w:eastAsia="Times New Roman" w:hAnsi="Times New Roman" w:cs="Times New Roman"/>
          <w:i/>
          <w:sz w:val="24"/>
        </w:rPr>
        <w:t>Power, the state, and sovereignty: essays on international relations</w:t>
      </w:r>
      <w:r>
        <w:rPr>
          <w:rFonts w:ascii="Times New Roman" w:eastAsia="Times New Roman" w:hAnsi="Times New Roman" w:cs="Times New Roman"/>
          <w:sz w:val="24"/>
        </w:rPr>
        <w:t>. London: Routledge.</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Krasner, Stephen D. 1999. </w:t>
      </w:r>
      <w:r>
        <w:rPr>
          <w:rFonts w:ascii="Times New Roman" w:eastAsia="Times New Roman" w:hAnsi="Times New Roman" w:cs="Times New Roman"/>
          <w:i/>
          <w:sz w:val="24"/>
        </w:rPr>
        <w:t>Sovereignty: organized hypocrisy</w:t>
      </w:r>
      <w:r>
        <w:rPr>
          <w:rFonts w:ascii="Times New Roman" w:eastAsia="Times New Roman" w:hAnsi="Times New Roman" w:cs="Times New Roman"/>
          <w:sz w:val="24"/>
        </w:rPr>
        <w:t>. Princeton, N.J.: Princeton University Press.</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Kuran, Timur. 1991. "Now Out of Ne</w:t>
      </w:r>
      <w:r>
        <w:rPr>
          <w:rFonts w:ascii="Times New Roman" w:eastAsia="Times New Roman" w:hAnsi="Times New Roman" w:cs="Times New Roman"/>
          <w:sz w:val="24"/>
        </w:rPr>
        <w:t xml:space="preserve">ver: The Element of Surprise in the East European Revolution of 1989". </w:t>
      </w:r>
      <w:r>
        <w:rPr>
          <w:rFonts w:ascii="Times New Roman" w:eastAsia="Times New Roman" w:hAnsi="Times New Roman" w:cs="Times New Roman"/>
          <w:i/>
          <w:sz w:val="24"/>
        </w:rPr>
        <w:t xml:space="preserve">World Politics. </w:t>
      </w:r>
      <w:r>
        <w:rPr>
          <w:rFonts w:ascii="Times New Roman" w:eastAsia="Times New Roman" w:hAnsi="Times New Roman" w:cs="Times New Roman"/>
          <w:sz w:val="24"/>
        </w:rPr>
        <w:t>44 (1): 7-48.</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Lipset, Seymour Martin. 1959. "Some Social Requisites of Democracy: Economic Development and Political Legitimacy". </w:t>
      </w:r>
      <w:r>
        <w:rPr>
          <w:rFonts w:ascii="Times New Roman" w:eastAsia="Times New Roman" w:hAnsi="Times New Roman" w:cs="Times New Roman"/>
          <w:i/>
          <w:sz w:val="24"/>
        </w:rPr>
        <w:t>The American Political Science Review.</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53 (1): 69-105. </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Meernik, James and Jamie Shairick. 2011. “International Humanitarian Law: Strong States and the Ratification of the ICC Treaty.” </w:t>
      </w:r>
      <w:r>
        <w:rPr>
          <w:rFonts w:ascii="Times New Roman" w:eastAsia="Times New Roman" w:hAnsi="Times New Roman" w:cs="Times New Roman"/>
          <w:i/>
          <w:sz w:val="24"/>
        </w:rPr>
        <w:t>International Area Studies Review.</w:t>
      </w:r>
      <w:r>
        <w:rPr>
          <w:rFonts w:ascii="Times New Roman" w:eastAsia="Times New Roman" w:hAnsi="Times New Roman" w:cs="Times New Roman"/>
          <w:sz w:val="24"/>
        </w:rPr>
        <w:t xml:space="preserve"> 14(2): 23-48.</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Moore, Frances. 2012. “Negotiating Adaptation: Norm Select</w:t>
      </w:r>
      <w:r>
        <w:rPr>
          <w:rFonts w:ascii="Times New Roman" w:eastAsia="Times New Roman" w:hAnsi="Times New Roman" w:cs="Times New Roman"/>
          <w:sz w:val="24"/>
        </w:rPr>
        <w:t xml:space="preserve">ion and Hybridization in International Climate Negotiations.” </w:t>
      </w:r>
      <w:r>
        <w:rPr>
          <w:rFonts w:ascii="Times New Roman" w:eastAsia="Times New Roman" w:hAnsi="Times New Roman" w:cs="Times New Roman"/>
          <w:i/>
          <w:sz w:val="24"/>
        </w:rPr>
        <w:t>Global Environmental Politics.</w:t>
      </w:r>
      <w:r>
        <w:rPr>
          <w:rFonts w:ascii="Times New Roman" w:eastAsia="Times New Roman" w:hAnsi="Times New Roman" w:cs="Times New Roman"/>
          <w:sz w:val="24"/>
        </w:rPr>
        <w:t xml:space="preserve"> 12(4): 30-48.</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Moravcsik, Andrew. 1997. "Taking Preferences Seriously: A Liberal Theory of International Politics.” </w:t>
      </w:r>
      <w:r>
        <w:rPr>
          <w:rFonts w:ascii="Times New Roman" w:eastAsia="Times New Roman" w:hAnsi="Times New Roman" w:cs="Times New Roman"/>
          <w:i/>
          <w:sz w:val="24"/>
        </w:rPr>
        <w:t xml:space="preserve">International Organization. </w:t>
      </w:r>
      <w:r>
        <w:rPr>
          <w:rFonts w:ascii="Times New Roman" w:eastAsia="Times New Roman" w:hAnsi="Times New Roman" w:cs="Times New Roman"/>
          <w:sz w:val="24"/>
        </w:rPr>
        <w:t>51 (4): 513-553.</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N</w:t>
      </w:r>
      <w:r>
        <w:rPr>
          <w:rFonts w:ascii="Times New Roman" w:eastAsia="Times New Roman" w:hAnsi="Times New Roman" w:cs="Times New Roman"/>
          <w:sz w:val="24"/>
        </w:rPr>
        <w:t xml:space="preserve">eumayer, Eric. 2007. "Qualified Ratification: Explaining Reservations to International Human Rights Treaties." </w:t>
      </w:r>
      <w:r>
        <w:rPr>
          <w:rFonts w:ascii="Times New Roman" w:eastAsia="Times New Roman" w:hAnsi="Times New Roman" w:cs="Times New Roman"/>
          <w:i/>
          <w:sz w:val="24"/>
        </w:rPr>
        <w:t xml:space="preserve">Journal of Legal Studies-Chicago. </w:t>
      </w:r>
      <w:r>
        <w:rPr>
          <w:rFonts w:ascii="Times New Roman" w:eastAsia="Times New Roman" w:hAnsi="Times New Roman" w:cs="Times New Roman"/>
          <w:sz w:val="24"/>
        </w:rPr>
        <w:t>36: 397-430.</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Olson, Mancur. 1965. </w:t>
      </w:r>
      <w:r>
        <w:rPr>
          <w:rFonts w:ascii="Times New Roman" w:eastAsia="Times New Roman" w:hAnsi="Times New Roman" w:cs="Times New Roman"/>
          <w:i/>
          <w:sz w:val="24"/>
        </w:rPr>
        <w:t>The Logic of Collective Action: Public Goods and the Theory of Groups</w:t>
      </w:r>
      <w:r>
        <w:rPr>
          <w:rFonts w:ascii="Times New Roman" w:eastAsia="Times New Roman" w:hAnsi="Times New Roman" w:cs="Times New Roman"/>
          <w:sz w:val="24"/>
        </w:rPr>
        <w:t>. Cambridge, Mass: Harvard University Press.</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Simmons, Beth A. 1998. "Compliance with International Agreements." </w:t>
      </w:r>
      <w:r>
        <w:rPr>
          <w:rFonts w:ascii="Times New Roman" w:eastAsia="Times New Roman" w:hAnsi="Times New Roman" w:cs="Times New Roman"/>
          <w:i/>
          <w:sz w:val="24"/>
        </w:rPr>
        <w:t>Annual Review of Political Science</w:t>
      </w:r>
      <w:r>
        <w:rPr>
          <w:rFonts w:ascii="Times New Roman" w:eastAsia="Times New Roman" w:hAnsi="Times New Roman" w:cs="Times New Roman"/>
          <w:sz w:val="24"/>
        </w:rPr>
        <w:t xml:space="preserve"> 1(1): 75-93.</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Skjærseth, Jon Birger, Guri Bang, and Miranda A. Schreurs. 2013. "Explaining Growing Climate P</w:t>
      </w:r>
      <w:r>
        <w:rPr>
          <w:rFonts w:ascii="Times New Roman" w:eastAsia="Times New Roman" w:hAnsi="Times New Roman" w:cs="Times New Roman"/>
          <w:sz w:val="24"/>
        </w:rPr>
        <w:t xml:space="preserve">olicy Differences Between the European Union and the United States.” </w:t>
      </w:r>
      <w:r>
        <w:rPr>
          <w:rFonts w:ascii="Times New Roman" w:eastAsia="Times New Roman" w:hAnsi="Times New Roman" w:cs="Times New Roman"/>
          <w:i/>
          <w:sz w:val="24"/>
        </w:rPr>
        <w:t xml:space="preserve">Global Environmental Politics. </w:t>
      </w:r>
      <w:r>
        <w:rPr>
          <w:rFonts w:ascii="Times New Roman" w:eastAsia="Times New Roman" w:hAnsi="Times New Roman" w:cs="Times New Roman"/>
          <w:sz w:val="24"/>
        </w:rPr>
        <w:t xml:space="preserve">13 (4): 61-80. </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Sourcewatch website. “Emissions Trading.” Accessed: </w:t>
      </w:r>
      <w:hyperlink r:id="rId12" w:anchor="cite_note-1">
        <w:r>
          <w:rPr>
            <w:rFonts w:ascii="Times New Roman" w:eastAsia="Times New Roman" w:hAnsi="Times New Roman" w:cs="Times New Roman"/>
            <w:color w:val="1155CC"/>
            <w:sz w:val="24"/>
            <w:u w:val="single"/>
          </w:rPr>
          <w:t>http://www.sourcewatch.org/index.php/Emissions_trading#cite_note-1</w:t>
        </w:r>
      </w:hyperlink>
      <w:r>
        <w:rPr>
          <w:rFonts w:ascii="Times New Roman" w:eastAsia="Times New Roman" w:hAnsi="Times New Roman" w:cs="Times New Roman"/>
          <w:sz w:val="24"/>
        </w:rPr>
        <w:t>.</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United Nations Framework Convention on Climate Change website. "Background." </w:t>
      </w:r>
      <w:r>
        <w:rPr>
          <w:rFonts w:ascii="Times New Roman" w:eastAsia="Times New Roman" w:hAnsi="Times New Roman" w:cs="Times New Roman"/>
          <w:i/>
          <w:sz w:val="24"/>
        </w:rPr>
        <w:t>Land Use, Land-Use Change and Forestry (LULUCF)</w:t>
      </w:r>
      <w:r>
        <w:rPr>
          <w:rFonts w:ascii="Times New Roman" w:eastAsia="Times New Roman" w:hAnsi="Times New Roman" w:cs="Times New Roman"/>
          <w:sz w:val="24"/>
        </w:rPr>
        <w:t>. Accessed:</w:t>
      </w:r>
      <w:hyperlink r:id="rId13">
        <w:r>
          <w:rPr>
            <w:rFonts w:ascii="Times New Roman" w:eastAsia="Times New Roman" w:hAnsi="Times New Roman" w:cs="Times New Roman"/>
            <w:color w:val="1155CC"/>
            <w:sz w:val="24"/>
            <w:u w:val="single"/>
          </w:rPr>
          <w:t>http://unfccc.int/land_use_and_climate_change/lulucf/items/3060.php</w:t>
        </w:r>
      </w:hyperlink>
      <w:r>
        <w:rPr>
          <w:rFonts w:ascii="Times New Roman" w:eastAsia="Times New Roman" w:hAnsi="Times New Roman" w:cs="Times New Roman"/>
          <w:sz w:val="24"/>
        </w:rPr>
        <w:t>.</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United Nations Framework Convention on Climate Change website.“Who’s who: Groupings and Actors.” </w:t>
      </w:r>
      <w:r>
        <w:rPr>
          <w:rFonts w:ascii="Times New Roman" w:eastAsia="Times New Roman" w:hAnsi="Times New Roman" w:cs="Times New Roman"/>
          <w:i/>
          <w:sz w:val="24"/>
        </w:rPr>
        <w:t>Land Use, Land-Use Change and Forestry (LULUCF)</w:t>
      </w:r>
      <w:r>
        <w:rPr>
          <w:rFonts w:ascii="Times New Roman" w:eastAsia="Times New Roman" w:hAnsi="Times New Roman" w:cs="Times New Roman"/>
          <w:sz w:val="24"/>
        </w:rPr>
        <w:t>. A</w:t>
      </w:r>
      <w:r>
        <w:rPr>
          <w:rFonts w:ascii="Times New Roman" w:eastAsia="Times New Roman" w:hAnsi="Times New Roman" w:cs="Times New Roman"/>
          <w:sz w:val="24"/>
        </w:rPr>
        <w:t xml:space="preserve">ccessed: </w:t>
      </w:r>
      <w:hyperlink r:id="rId14">
        <w:r>
          <w:rPr>
            <w:rFonts w:ascii="Times New Roman" w:eastAsia="Times New Roman" w:hAnsi="Times New Roman" w:cs="Times New Roman"/>
            <w:color w:val="1155CC"/>
            <w:sz w:val="24"/>
            <w:u w:val="single"/>
          </w:rPr>
          <w:t>http://unfccc.int/essential_background/convention/items/6343.php</w:t>
        </w:r>
      </w:hyperlink>
      <w:r>
        <w:rPr>
          <w:rFonts w:ascii="Times New Roman" w:eastAsia="Times New Roman" w:hAnsi="Times New Roman" w:cs="Times New Roman"/>
          <w:sz w:val="24"/>
        </w:rPr>
        <w:t xml:space="preserve">. </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United Nations Framework Convention on Climate Change website. “Introduction.”  </w:t>
      </w:r>
      <w:r>
        <w:rPr>
          <w:rFonts w:ascii="Times New Roman" w:eastAsia="Times New Roman" w:hAnsi="Times New Roman" w:cs="Times New Roman"/>
          <w:i/>
          <w:sz w:val="24"/>
        </w:rPr>
        <w:t>Land Use, Land-Use Change and Forestry (LULUCF)</w:t>
      </w:r>
      <w:r>
        <w:rPr>
          <w:rFonts w:ascii="Times New Roman" w:eastAsia="Times New Roman" w:hAnsi="Times New Roman" w:cs="Times New Roman"/>
          <w:sz w:val="24"/>
        </w:rPr>
        <w:t xml:space="preserve">. Accessed: </w:t>
      </w:r>
      <w:hyperlink r:id="rId15">
        <w:r>
          <w:rPr>
            <w:rFonts w:ascii="Times New Roman" w:eastAsia="Times New Roman" w:hAnsi="Times New Roman" w:cs="Times New Roman"/>
            <w:color w:val="0563C1"/>
            <w:sz w:val="24"/>
            <w:u w:val="single"/>
          </w:rPr>
          <w:t>http://unfccc.int/kyoto_protocol/compliance/items/3024.php</w:t>
        </w:r>
      </w:hyperlink>
      <w:hyperlink r:id="rId16"/>
    </w:p>
    <w:p w:rsidR="00FE0965" w:rsidRDefault="00A0125B">
      <w:pPr>
        <w:spacing w:after="0" w:line="240" w:lineRule="auto"/>
      </w:pPr>
      <w:hyperlink r:id="rId17"/>
    </w:p>
    <w:p w:rsidR="00FE0965" w:rsidRDefault="00A0125B">
      <w:pPr>
        <w:spacing w:after="0" w:line="240" w:lineRule="auto"/>
      </w:pPr>
      <w:r>
        <w:rPr>
          <w:rFonts w:ascii="Times New Roman" w:eastAsia="Times New Roman" w:hAnsi="Times New Roman" w:cs="Times New Roman"/>
          <w:sz w:val="24"/>
        </w:rPr>
        <w:t xml:space="preserve">United Nations Framework Convention on Climate Change website. “Compliance Under the Kyoto Protocol.” </w:t>
      </w:r>
      <w:r>
        <w:rPr>
          <w:rFonts w:ascii="Times New Roman" w:eastAsia="Times New Roman" w:hAnsi="Times New Roman" w:cs="Times New Roman"/>
          <w:i/>
          <w:sz w:val="24"/>
        </w:rPr>
        <w:t>Land Use, Land-Use Change and Forestry (LULUCF)</w:t>
      </w:r>
      <w:r>
        <w:rPr>
          <w:rFonts w:ascii="Times New Roman" w:eastAsia="Times New Roman" w:hAnsi="Times New Roman" w:cs="Times New Roman"/>
          <w:sz w:val="24"/>
        </w:rPr>
        <w:t xml:space="preserve">. </w:t>
      </w:r>
      <w:r>
        <w:rPr>
          <w:rFonts w:ascii="Times New Roman" w:eastAsia="Times New Roman" w:hAnsi="Times New Roman" w:cs="Times New Roman"/>
          <w:color w:val="0563C1"/>
          <w:sz w:val="24"/>
        </w:rPr>
        <w:t xml:space="preserve"> </w:t>
      </w:r>
      <w:r>
        <w:rPr>
          <w:rFonts w:ascii="Times New Roman" w:eastAsia="Times New Roman" w:hAnsi="Times New Roman" w:cs="Times New Roman"/>
          <w:sz w:val="24"/>
        </w:rPr>
        <w:t>Accesse</w:t>
      </w:r>
      <w:r>
        <w:rPr>
          <w:rFonts w:ascii="Times New Roman" w:eastAsia="Times New Roman" w:hAnsi="Times New Roman" w:cs="Times New Roman"/>
          <w:sz w:val="24"/>
        </w:rPr>
        <w:t xml:space="preserve">d: </w:t>
      </w:r>
      <w:hyperlink r:id="rId18">
        <w:r>
          <w:rPr>
            <w:rFonts w:ascii="Times New Roman" w:eastAsia="Times New Roman" w:hAnsi="Times New Roman" w:cs="Times New Roman"/>
            <w:color w:val="0563C1"/>
            <w:sz w:val="24"/>
            <w:u w:val="single"/>
          </w:rPr>
          <w:t>http://unfccc.int/kyoto_protocol/compliance/items/2875.php.</w:t>
        </w:r>
      </w:hyperlink>
      <w:hyperlink r:id="rId19"/>
    </w:p>
    <w:p w:rsidR="00FE0965" w:rsidRDefault="00A0125B">
      <w:pPr>
        <w:spacing w:after="0" w:line="240" w:lineRule="auto"/>
      </w:pPr>
      <w:hyperlink r:id="rId20"/>
    </w:p>
    <w:p w:rsidR="00FE0965" w:rsidRDefault="00A0125B">
      <w:pPr>
        <w:spacing w:after="0" w:line="240" w:lineRule="auto"/>
      </w:pPr>
      <w:r>
        <w:rPr>
          <w:rFonts w:ascii="Times New Roman" w:eastAsia="Times New Roman" w:hAnsi="Times New Roman" w:cs="Times New Roman"/>
          <w:sz w:val="24"/>
        </w:rPr>
        <w:t xml:space="preserve">United Nations Framework Convention on Climate Change website. “Kyoto Protocol.”  </w:t>
      </w:r>
      <w:r>
        <w:rPr>
          <w:rFonts w:ascii="Times New Roman" w:eastAsia="Times New Roman" w:hAnsi="Times New Roman" w:cs="Times New Roman"/>
          <w:i/>
          <w:sz w:val="24"/>
        </w:rPr>
        <w:t>Land Use, Land-Use Change and Forestry (LULUCF)</w:t>
      </w:r>
      <w:r>
        <w:rPr>
          <w:rFonts w:ascii="Times New Roman" w:eastAsia="Times New Roman" w:hAnsi="Times New Roman" w:cs="Times New Roman"/>
          <w:sz w:val="24"/>
        </w:rPr>
        <w:t xml:space="preserve">. Accessed: </w:t>
      </w:r>
      <w:hyperlink r:id="rId21">
        <w:r>
          <w:rPr>
            <w:rFonts w:ascii="Times New Roman" w:eastAsia="Times New Roman" w:hAnsi="Times New Roman" w:cs="Times New Roman"/>
            <w:color w:val="0563C1"/>
            <w:sz w:val="24"/>
            <w:u w:val="single"/>
          </w:rPr>
          <w:t>http://unfccc.int/kyoto_protocol/items/2830.php</w:t>
        </w:r>
      </w:hyperlink>
      <w:hyperlink r:id="rId22"/>
    </w:p>
    <w:p w:rsidR="00FE0965" w:rsidRDefault="00A0125B">
      <w:pPr>
        <w:spacing w:after="0" w:line="240" w:lineRule="auto"/>
      </w:pPr>
      <w:hyperlink r:id="rId23"/>
    </w:p>
    <w:p w:rsidR="00FE0965" w:rsidRDefault="00A0125B">
      <w:pPr>
        <w:spacing w:after="0" w:line="240" w:lineRule="auto"/>
      </w:pPr>
      <w:r>
        <w:rPr>
          <w:rFonts w:ascii="Times New Roman" w:eastAsia="Times New Roman" w:hAnsi="Times New Roman" w:cs="Times New Roman"/>
          <w:sz w:val="24"/>
        </w:rPr>
        <w:t>United Nations Framework Convention on Clima</w:t>
      </w:r>
      <w:r>
        <w:rPr>
          <w:rFonts w:ascii="Times New Roman" w:eastAsia="Times New Roman" w:hAnsi="Times New Roman" w:cs="Times New Roman"/>
          <w:sz w:val="24"/>
        </w:rPr>
        <w:t>te Change website.</w:t>
      </w:r>
      <w:r>
        <w:rPr>
          <w:rFonts w:ascii="Times New Roman" w:eastAsia="Times New Roman" w:hAnsi="Times New Roman" w:cs="Times New Roman"/>
          <w:color w:val="0563C1"/>
          <w:sz w:val="24"/>
        </w:rPr>
        <w:t xml:space="preserve"> </w:t>
      </w:r>
      <w:r>
        <w:rPr>
          <w:rFonts w:ascii="Times New Roman" w:eastAsia="Times New Roman" w:hAnsi="Times New Roman" w:cs="Times New Roman"/>
          <w:sz w:val="24"/>
        </w:rPr>
        <w:t>“National Greenhouse Gas Inventory Data for the Period 1990-2012.”</w:t>
      </w:r>
      <w:r>
        <w:rPr>
          <w:rFonts w:ascii="Times New Roman" w:eastAsia="Times New Roman" w:hAnsi="Times New Roman" w:cs="Times New Roman"/>
          <w:color w:val="0563C1"/>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i/>
          <w:sz w:val="24"/>
        </w:rPr>
        <w:t>Land Use, Land-Use Change and Forestry (LULUCF)</w:t>
      </w:r>
      <w:r>
        <w:rPr>
          <w:rFonts w:ascii="Times New Roman" w:eastAsia="Times New Roman" w:hAnsi="Times New Roman" w:cs="Times New Roman"/>
          <w:sz w:val="24"/>
        </w:rPr>
        <w:t>. Accessed:</w:t>
      </w:r>
      <w:r>
        <w:rPr>
          <w:rFonts w:ascii="Times New Roman" w:eastAsia="Times New Roman" w:hAnsi="Times New Roman" w:cs="Times New Roman"/>
          <w:color w:val="0563C1"/>
          <w:sz w:val="24"/>
        </w:rPr>
        <w:t xml:space="preserve"> </w:t>
      </w:r>
      <w:hyperlink r:id="rId24">
        <w:r>
          <w:rPr>
            <w:rFonts w:ascii="Times New Roman" w:eastAsia="Times New Roman" w:hAnsi="Times New Roman" w:cs="Times New Roman"/>
            <w:color w:val="0563C1"/>
            <w:sz w:val="24"/>
            <w:u w:val="single"/>
          </w:rPr>
          <w:t>http://unfccc.int/resource/docs/2014/sb</w:t>
        </w:r>
        <w:r>
          <w:rPr>
            <w:rFonts w:ascii="Times New Roman" w:eastAsia="Times New Roman" w:hAnsi="Times New Roman" w:cs="Times New Roman"/>
            <w:color w:val="0563C1"/>
            <w:sz w:val="24"/>
            <w:u w:val="single"/>
          </w:rPr>
          <w:t>i/eng/20.pdf</w:t>
        </w:r>
      </w:hyperlink>
      <w:hyperlink r:id="rId25"/>
    </w:p>
    <w:p w:rsidR="00FE0965" w:rsidRDefault="00A0125B">
      <w:pPr>
        <w:spacing w:after="0" w:line="240" w:lineRule="auto"/>
      </w:pPr>
      <w:hyperlink r:id="rId26"/>
    </w:p>
    <w:p w:rsidR="00FE0965" w:rsidRDefault="00A0125B">
      <w:pPr>
        <w:spacing w:after="0" w:line="240" w:lineRule="auto"/>
      </w:pPr>
      <w:r>
        <w:rPr>
          <w:rFonts w:ascii="Times New Roman" w:eastAsia="Times New Roman" w:hAnsi="Times New Roman" w:cs="Times New Roman"/>
          <w:sz w:val="24"/>
        </w:rPr>
        <w:t>United Nations Framework Convention on Climate Change.</w:t>
      </w:r>
      <w:hyperlink r:id="rId27" w:anchor="S">
        <w:r>
          <w:rPr>
            <w:rFonts w:ascii="Times New Roman" w:eastAsia="Times New Roman" w:hAnsi="Times New Roman" w:cs="Times New Roman"/>
            <w:sz w:val="24"/>
          </w:rPr>
          <w:t xml:space="preserve"> </w:t>
        </w:r>
      </w:hyperlink>
      <w:hyperlink r:id="rId28" w:anchor="S">
        <w:r>
          <w:rPr>
            <w:rFonts w:ascii="Times New Roman" w:eastAsia="Times New Roman" w:hAnsi="Times New Roman" w:cs="Times New Roman"/>
            <w:sz w:val="24"/>
          </w:rPr>
          <w:t>"Glossary of climate change acronyms</w:t>
        </w:r>
      </w:hyperlink>
      <w:r>
        <w:rPr>
          <w:rFonts w:ascii="Times New Roman" w:eastAsia="Times New Roman" w:hAnsi="Times New Roman" w:cs="Times New Roman"/>
          <w:sz w:val="24"/>
        </w:rPr>
        <w:t xml:space="preserve">.”  </w:t>
      </w:r>
      <w:r>
        <w:rPr>
          <w:rFonts w:ascii="Times New Roman" w:eastAsia="Times New Roman" w:hAnsi="Times New Roman" w:cs="Times New Roman"/>
          <w:i/>
          <w:sz w:val="24"/>
        </w:rPr>
        <w:t>Land Use, Land-Use Change and Forestry (LULUCF)</w:t>
      </w:r>
      <w:r>
        <w:rPr>
          <w:rFonts w:ascii="Times New Roman" w:eastAsia="Times New Roman" w:hAnsi="Times New Roman" w:cs="Times New Roman"/>
          <w:sz w:val="24"/>
        </w:rPr>
        <w:t>. United Nations Framework Conventio</w:t>
      </w:r>
      <w:r>
        <w:rPr>
          <w:rFonts w:ascii="Times New Roman" w:eastAsia="Times New Roman" w:hAnsi="Times New Roman" w:cs="Times New Roman"/>
          <w:sz w:val="24"/>
        </w:rPr>
        <w:t xml:space="preserve">n on Climate Change website. Accessed: </w:t>
      </w:r>
      <w:hyperlink r:id="rId29">
        <w:r>
          <w:rPr>
            <w:rFonts w:ascii="Times New Roman" w:eastAsia="Times New Roman" w:hAnsi="Times New Roman" w:cs="Times New Roman"/>
            <w:color w:val="1155CC"/>
            <w:sz w:val="24"/>
            <w:u w:val="single"/>
          </w:rPr>
          <w:t>http://unfccc.int/essential_background/glossary/items/3666.php</w:t>
        </w:r>
      </w:hyperlink>
      <w:r>
        <w:rPr>
          <w:rFonts w:ascii="Times New Roman" w:eastAsia="Times New Roman" w:hAnsi="Times New Roman" w:cs="Times New Roman"/>
          <w:sz w:val="24"/>
        </w:rPr>
        <w:t>.</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United Nations Framework Convention on Climate Change website. “Land-U</w:t>
      </w:r>
      <w:r>
        <w:rPr>
          <w:rFonts w:ascii="Times New Roman" w:eastAsia="Times New Roman" w:hAnsi="Times New Roman" w:cs="Times New Roman"/>
          <w:sz w:val="24"/>
        </w:rPr>
        <w:t xml:space="preserve">se, Land-Use Change, and Forestry (LULUCF): Background.”  </w:t>
      </w:r>
      <w:r>
        <w:rPr>
          <w:rFonts w:ascii="Times New Roman" w:eastAsia="Times New Roman" w:hAnsi="Times New Roman" w:cs="Times New Roman"/>
          <w:i/>
          <w:sz w:val="24"/>
        </w:rPr>
        <w:t>Land Use, Land-Use Change and Forestry (LULUCF)</w:t>
      </w:r>
      <w:r>
        <w:rPr>
          <w:rFonts w:ascii="Times New Roman" w:eastAsia="Times New Roman" w:hAnsi="Times New Roman" w:cs="Times New Roman"/>
          <w:sz w:val="24"/>
        </w:rPr>
        <w:t xml:space="preserve">. Accessed: </w:t>
      </w:r>
      <w:hyperlink r:id="rId30">
        <w:r>
          <w:rPr>
            <w:rFonts w:ascii="Times New Roman" w:eastAsia="Times New Roman" w:hAnsi="Times New Roman" w:cs="Times New Roman"/>
            <w:color w:val="1155CC"/>
            <w:sz w:val="24"/>
            <w:u w:val="single"/>
          </w:rPr>
          <w:t>http://unfccc.int/land_use_and_climate_change/lulucf</w:t>
        </w:r>
        <w:r>
          <w:rPr>
            <w:rFonts w:ascii="Times New Roman" w:eastAsia="Times New Roman" w:hAnsi="Times New Roman" w:cs="Times New Roman"/>
            <w:color w:val="1155CC"/>
            <w:sz w:val="24"/>
            <w:u w:val="single"/>
          </w:rPr>
          <w:t>/items/3060.php</w:t>
        </w:r>
      </w:hyperlink>
      <w:r>
        <w:rPr>
          <w:rFonts w:ascii="Times New Roman" w:eastAsia="Times New Roman" w:hAnsi="Times New Roman" w:cs="Times New Roman"/>
          <w:sz w:val="24"/>
        </w:rPr>
        <w:t>.</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Waltz, Kenneth N. 1979. </w:t>
      </w:r>
      <w:r>
        <w:rPr>
          <w:rFonts w:ascii="Times New Roman" w:eastAsia="Times New Roman" w:hAnsi="Times New Roman" w:cs="Times New Roman"/>
          <w:i/>
          <w:sz w:val="24"/>
        </w:rPr>
        <w:t>Theory of international politics</w:t>
      </w:r>
      <w:r>
        <w:rPr>
          <w:rFonts w:ascii="Times New Roman" w:eastAsia="Times New Roman" w:hAnsi="Times New Roman" w:cs="Times New Roman"/>
          <w:sz w:val="24"/>
        </w:rPr>
        <w:t>. Reading, Mass: Addison-Wesley Pub. Co.</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 xml:space="preserve">Wotipka, Christine, and Kiyoteru Tsutsu. 2008. “Global Human Rights and State Sovereignty: State Ratification of International Human Rights Treaties, 1965-2001.” </w:t>
      </w:r>
      <w:r>
        <w:rPr>
          <w:rFonts w:ascii="Times New Roman" w:eastAsia="Times New Roman" w:hAnsi="Times New Roman" w:cs="Times New Roman"/>
          <w:i/>
          <w:sz w:val="24"/>
        </w:rPr>
        <w:t>Sociological Forum.</w:t>
      </w:r>
      <w:r>
        <w:rPr>
          <w:rFonts w:ascii="Times New Roman" w:eastAsia="Times New Roman" w:hAnsi="Times New Roman" w:cs="Times New Roman"/>
          <w:sz w:val="24"/>
        </w:rPr>
        <w:t xml:space="preserve"> 23(4): 724-754.</w:t>
      </w:r>
    </w:p>
    <w:p w:rsidR="00FE0965" w:rsidRDefault="00FE0965">
      <w:pPr>
        <w:spacing w:after="0" w:line="240" w:lineRule="auto"/>
      </w:pPr>
    </w:p>
    <w:p w:rsidR="00FE0965" w:rsidRDefault="00A0125B">
      <w:pPr>
        <w:spacing w:after="0" w:line="240" w:lineRule="auto"/>
      </w:pPr>
      <w:r>
        <w:rPr>
          <w:rFonts w:ascii="Times New Roman" w:eastAsia="Times New Roman" w:hAnsi="Times New Roman" w:cs="Times New Roman"/>
          <w:sz w:val="24"/>
        </w:rPr>
        <w:t>Zhao, Jimin. 2005. “Implementing International Environmen</w:t>
      </w:r>
      <w:r>
        <w:rPr>
          <w:rFonts w:ascii="Times New Roman" w:eastAsia="Times New Roman" w:hAnsi="Times New Roman" w:cs="Times New Roman"/>
          <w:sz w:val="24"/>
        </w:rPr>
        <w:t xml:space="preserve">tal Treaties in Developing Countries: China’s Compliance with the Montreal Protocol.” </w:t>
      </w:r>
      <w:r>
        <w:rPr>
          <w:rFonts w:ascii="Times New Roman" w:eastAsia="Times New Roman" w:hAnsi="Times New Roman" w:cs="Times New Roman"/>
          <w:i/>
          <w:sz w:val="24"/>
        </w:rPr>
        <w:t>Global Environmental Politics.</w:t>
      </w:r>
      <w:r>
        <w:rPr>
          <w:rFonts w:ascii="Times New Roman" w:eastAsia="Times New Roman" w:hAnsi="Times New Roman" w:cs="Times New Roman"/>
          <w:sz w:val="24"/>
        </w:rPr>
        <w:t xml:space="preserve"> 5(1): 58-81.</w:t>
      </w:r>
    </w:p>
    <w:sectPr w:rsidR="00FE0965">
      <w:footerReference w:type="default" r:id="rId31"/>
      <w:footerReference w:type="first" r:id="rId32"/>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25B" w:rsidRDefault="00A0125B">
      <w:pPr>
        <w:spacing w:after="0" w:line="240" w:lineRule="auto"/>
      </w:pPr>
      <w:r>
        <w:separator/>
      </w:r>
    </w:p>
  </w:endnote>
  <w:endnote w:type="continuationSeparator" w:id="0">
    <w:p w:rsidR="00A0125B" w:rsidRDefault="00A0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65" w:rsidRDefault="00A0125B">
    <w:pPr>
      <w:tabs>
        <w:tab w:val="center" w:pos="4680"/>
        <w:tab w:val="right" w:pos="9360"/>
      </w:tabs>
      <w:spacing w:after="0" w:line="240" w:lineRule="auto"/>
      <w:jc w:val="center"/>
    </w:pPr>
    <w:r>
      <w:fldChar w:fldCharType="begin"/>
    </w:r>
    <w:r>
      <w:instrText>PAGE</w:instrText>
    </w:r>
    <w:r>
      <w:fldChar w:fldCharType="separate"/>
    </w:r>
    <w:r w:rsidR="006E5D83">
      <w:rPr>
        <w:noProof/>
      </w:rPr>
      <w:t>2</w:t>
    </w:r>
    <w:r>
      <w:fldChar w:fldCharType="end"/>
    </w:r>
  </w:p>
  <w:p w:rsidR="00FE0965" w:rsidRDefault="00FE0965">
    <w:pPr>
      <w:tabs>
        <w:tab w:val="center" w:pos="4680"/>
        <w:tab w:val="right" w:pos="9360"/>
      </w:tabs>
      <w:spacing w:after="72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65" w:rsidRDefault="00FE0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25B" w:rsidRDefault="00A0125B">
      <w:pPr>
        <w:spacing w:after="0" w:line="240" w:lineRule="auto"/>
      </w:pPr>
      <w:r>
        <w:separator/>
      </w:r>
    </w:p>
  </w:footnote>
  <w:footnote w:type="continuationSeparator" w:id="0">
    <w:p w:rsidR="00A0125B" w:rsidRDefault="00A0125B">
      <w:pPr>
        <w:spacing w:after="0" w:line="240" w:lineRule="auto"/>
      </w:pPr>
      <w:r>
        <w:continuationSeparator/>
      </w:r>
    </w:p>
  </w:footnote>
  <w:footnote w:id="1">
    <w:p w:rsidR="00FE0965" w:rsidRDefault="00A0125B">
      <w:pPr>
        <w:spacing w:after="0" w:line="240" w:lineRule="auto"/>
      </w:pPr>
      <w:r>
        <w:rPr>
          <w:vertAlign w:val="superscript"/>
        </w:rPr>
        <w:footnoteRef/>
      </w:r>
      <w:r>
        <w:rPr>
          <w:sz w:val="20"/>
        </w:rPr>
        <w:t xml:space="preserve"> Pr</w:t>
      </w:r>
      <w:r w:rsidR="006E5D83">
        <w:rPr>
          <w:sz w:val="20"/>
        </w:rPr>
        <w:t>eviously pr</w:t>
      </w:r>
      <w:r>
        <w:rPr>
          <w:sz w:val="20"/>
        </w:rPr>
        <w:t xml:space="preserve">epared for presentation at the Southwestern Social Science Association Conference, April 9-12, 2015, Denver, Colorado. </w:t>
      </w:r>
      <w:r w:rsidR="006E5D83">
        <w:rPr>
          <w:sz w:val="20"/>
        </w:rPr>
        <w:t xml:space="preserve">Prepared also </w:t>
      </w:r>
      <w:bookmarkStart w:id="0" w:name="_GoBack"/>
      <w:bookmarkEnd w:id="0"/>
      <w:r w:rsidR="006E5D83">
        <w:rPr>
          <w:sz w:val="20"/>
        </w:rPr>
        <w:t xml:space="preserve">for Illinois State University graduate student conference, April 24,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87827"/>
    <w:multiLevelType w:val="multilevel"/>
    <w:tmpl w:val="8276929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4F146B5F"/>
    <w:multiLevelType w:val="multilevel"/>
    <w:tmpl w:val="D7DEEE3E"/>
    <w:lvl w:ilvl="0">
      <w:start w:val="1"/>
      <w:numFmt w:val="lowerLetter"/>
      <w:lvlText w:val="%1."/>
      <w:lvlJc w:val="left"/>
      <w:pPr>
        <w:ind w:left="720" w:firstLine="1080"/>
      </w:pPr>
      <w:rPr>
        <w:u w:val="none"/>
      </w:rPr>
    </w:lvl>
    <w:lvl w:ilvl="1">
      <w:start w:val="1"/>
      <w:numFmt w:val="lowerRoman"/>
      <w:lvlText w:val="%2."/>
      <w:lvlJc w:val="left"/>
      <w:pPr>
        <w:ind w:left="1440" w:firstLine="2520"/>
      </w:pPr>
      <w:rPr>
        <w:u w:val="none"/>
      </w:rPr>
    </w:lvl>
    <w:lvl w:ilvl="2">
      <w:start w:val="1"/>
      <w:numFmt w:val="decimal"/>
      <w:lvlText w:val="%3."/>
      <w:lvlJc w:val="right"/>
      <w:pPr>
        <w:ind w:left="2160" w:firstLine="3960"/>
      </w:pPr>
      <w:rPr>
        <w:u w:val="none"/>
      </w:rPr>
    </w:lvl>
    <w:lvl w:ilvl="3">
      <w:start w:val="1"/>
      <w:numFmt w:val="lowerLetter"/>
      <w:lvlText w:val="%4."/>
      <w:lvlJc w:val="left"/>
      <w:pPr>
        <w:ind w:left="2880" w:firstLine="5400"/>
      </w:pPr>
      <w:rPr>
        <w:u w:val="none"/>
      </w:rPr>
    </w:lvl>
    <w:lvl w:ilvl="4">
      <w:start w:val="1"/>
      <w:numFmt w:val="lowerRoman"/>
      <w:lvlText w:val="%5."/>
      <w:lvlJc w:val="left"/>
      <w:pPr>
        <w:ind w:left="3600" w:firstLine="6840"/>
      </w:pPr>
      <w:rPr>
        <w:u w:val="none"/>
      </w:rPr>
    </w:lvl>
    <w:lvl w:ilvl="5">
      <w:start w:val="1"/>
      <w:numFmt w:val="decimal"/>
      <w:lvlText w:val="%6."/>
      <w:lvlJc w:val="right"/>
      <w:pPr>
        <w:ind w:left="4320" w:firstLine="8280"/>
      </w:pPr>
      <w:rPr>
        <w:u w:val="none"/>
      </w:rPr>
    </w:lvl>
    <w:lvl w:ilvl="6">
      <w:start w:val="1"/>
      <w:numFmt w:val="lowerLetter"/>
      <w:lvlText w:val="%7."/>
      <w:lvlJc w:val="left"/>
      <w:pPr>
        <w:ind w:left="5040" w:firstLine="9720"/>
      </w:pPr>
      <w:rPr>
        <w:u w:val="none"/>
      </w:rPr>
    </w:lvl>
    <w:lvl w:ilvl="7">
      <w:start w:val="1"/>
      <w:numFmt w:val="lowerRoman"/>
      <w:lvlText w:val="%8."/>
      <w:lvlJc w:val="left"/>
      <w:pPr>
        <w:ind w:left="5760" w:firstLine="11160"/>
      </w:pPr>
      <w:rPr>
        <w:u w:val="none"/>
      </w:rPr>
    </w:lvl>
    <w:lvl w:ilvl="8">
      <w:start w:val="1"/>
      <w:numFmt w:val="decimal"/>
      <w:lvlText w:val="%9."/>
      <w:lvlJc w:val="right"/>
      <w:pPr>
        <w:ind w:left="6480" w:firstLine="1260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E0965"/>
    <w:rsid w:val="006E5D83"/>
    <w:rsid w:val="00A0125B"/>
    <w:rsid w:val="00FE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54176-1E08-45DB-B6C0-8085159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nfccc.int/land_use_and_climate_change/lulucf/items/3060.php" TargetMode="External"/><Relationship Id="rId18" Type="http://schemas.openxmlformats.org/officeDocument/2006/relationships/hyperlink" Target="http://unfccc.int/kyoto_protocol/compliance/items/2875.php" TargetMode="External"/><Relationship Id="rId26" Type="http://schemas.openxmlformats.org/officeDocument/2006/relationships/hyperlink" Target="http://unfccc.int/resource/docs/2014/sbi/eng/20.pdf" TargetMode="External"/><Relationship Id="rId3" Type="http://schemas.openxmlformats.org/officeDocument/2006/relationships/settings" Target="settings.xml"/><Relationship Id="rId21" Type="http://schemas.openxmlformats.org/officeDocument/2006/relationships/hyperlink" Target="http://unfccc.int/kyoto_protocol/items/2830.php"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sourcewatch.org/index.php/Emissions_trading" TargetMode="External"/><Relationship Id="rId17" Type="http://schemas.openxmlformats.org/officeDocument/2006/relationships/hyperlink" Target="http://unfccc.int/kyoto_protocol/compliance/items/3024.php" TargetMode="External"/><Relationship Id="rId25" Type="http://schemas.openxmlformats.org/officeDocument/2006/relationships/hyperlink" Target="http://unfccc.int/resource/docs/2014/sbi/eng/20.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unfccc.int/kyoto_protocol/compliance/items/3024.php" TargetMode="External"/><Relationship Id="rId20" Type="http://schemas.openxmlformats.org/officeDocument/2006/relationships/hyperlink" Target="http://unfccc.int/kyoto_protocol/compliance/items/2875.php" TargetMode="External"/><Relationship Id="rId29" Type="http://schemas.openxmlformats.org/officeDocument/2006/relationships/hyperlink" Target="http://unfccc.int/essential_background/glossary/items/3666.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cgov.org/FilePagineStatiche/Files/Publications/Reflections/12_Reflection_December_2012.pdf" TargetMode="External"/><Relationship Id="rId24" Type="http://schemas.openxmlformats.org/officeDocument/2006/relationships/hyperlink" Target="http://unfccc.int/resource/docs/2014/sbi/eng/20.pdf"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unfccc.int/kyoto_protocol/compliance/items/3024.php" TargetMode="External"/><Relationship Id="rId23" Type="http://schemas.openxmlformats.org/officeDocument/2006/relationships/hyperlink" Target="http://unfccc.int/kyoto_protocol/items/2830.php" TargetMode="External"/><Relationship Id="rId28" Type="http://schemas.openxmlformats.org/officeDocument/2006/relationships/hyperlink" Target="http://unfccc.int/essential_background/glossary/items/3666.php" TargetMode="External"/><Relationship Id="rId10" Type="http://schemas.openxmlformats.org/officeDocument/2006/relationships/hyperlink" Target="http://www.iccgov.org/FilePagineStatiche/Files/Publications/Reflections/12_Reflection_December_2012.pdf" TargetMode="External"/><Relationship Id="rId19" Type="http://schemas.openxmlformats.org/officeDocument/2006/relationships/hyperlink" Target="http://unfccc.int/kyoto_protocol/compliance/items/2875.php"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cgov.org/FilePagineStatiche/Files/Publications/Reflections/12_Reflection_December_2012.pdf" TargetMode="External"/><Relationship Id="rId14" Type="http://schemas.openxmlformats.org/officeDocument/2006/relationships/hyperlink" Target="http://unfccc.int/essential_background/convention/items/6343.php" TargetMode="External"/><Relationship Id="rId22" Type="http://schemas.openxmlformats.org/officeDocument/2006/relationships/hyperlink" Target="http://unfccc.int/kyoto_protocol/items/2830.php" TargetMode="External"/><Relationship Id="rId27" Type="http://schemas.openxmlformats.org/officeDocument/2006/relationships/hyperlink" Target="http://unfccc.int/essential_background/glossary/items/3666.php" TargetMode="External"/><Relationship Id="rId30" Type="http://schemas.openxmlformats.org/officeDocument/2006/relationships/hyperlink" Target="http://unfccc.int/land_use_and_climate_change/lulucf/items/3060.php" TargetMode="External"/><Relationship Id="rId8" Type="http://schemas.openxmlformats.org/officeDocument/2006/relationships/hyperlink" Target="http://climateactiontracker.org/countries/developed/switzerla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6785</Words>
  <Characters>38680</Characters>
  <Application>Microsoft Office Word</Application>
  <DocSecurity>0</DocSecurity>
  <Lines>322</Lines>
  <Paragraphs>90</Paragraphs>
  <ScaleCrop>false</ScaleCrop>
  <Company/>
  <LinksUpToDate>false</LinksUpToDate>
  <CharactersWithSpaces>45375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Seaman</cp:lastModifiedBy>
  <cp:revision>3</cp:revision>
  <dcterms:created xsi:type="dcterms:W3CDTF">2015-04-11T03:54:00Z</dcterms:created>
  <dcterms:modified xsi:type="dcterms:W3CDTF">2015-04-11T03:59:00Z</dcterms:modified>
</cp:coreProperties>
</file>